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9C52" w14:textId="77777777" w:rsidR="003E7915" w:rsidRPr="009505DF" w:rsidRDefault="00042DF4" w:rsidP="005D18D8">
      <w:pPr>
        <w:pStyle w:val="CoverTitle"/>
        <w:spacing w:after="0"/>
        <w:rPr>
          <w:color w:val="auto"/>
          <w:sz w:val="48"/>
          <w:szCs w:val="48"/>
        </w:rPr>
      </w:pPr>
      <w:r w:rsidRPr="009505DF">
        <w:rPr>
          <w:color w:val="auto"/>
          <w:sz w:val="48"/>
          <w:szCs w:val="48"/>
        </w:rPr>
        <w:t xml:space="preserve">Terms of Reference </w:t>
      </w:r>
    </w:p>
    <w:p w14:paraId="576F9DEC" w14:textId="1769031C" w:rsidR="003140C7" w:rsidRPr="009505DF" w:rsidRDefault="00042DF4" w:rsidP="005D18D8">
      <w:pPr>
        <w:pStyle w:val="CoverTitle"/>
        <w:spacing w:after="0"/>
        <w:rPr>
          <w:rFonts w:eastAsia="BritishCouncilSans-Regular" w:cs="BritishCouncilSans-Regular"/>
          <w:color w:val="auto"/>
          <w:spacing w:val="0"/>
          <w:sz w:val="48"/>
          <w:szCs w:val="52"/>
        </w:rPr>
      </w:pPr>
      <w:r w:rsidRPr="009505DF">
        <w:rPr>
          <w:color w:val="auto"/>
          <w:sz w:val="48"/>
          <w:szCs w:val="48"/>
        </w:rPr>
        <w:t>Programme Evaluation —</w:t>
      </w:r>
      <w:r w:rsidR="003E7915" w:rsidRPr="009505DF">
        <w:rPr>
          <w:color w:val="auto"/>
          <w:sz w:val="48"/>
          <w:szCs w:val="48"/>
        </w:rPr>
        <w:t xml:space="preserve"> </w:t>
      </w:r>
      <w:r w:rsidRPr="009505DF">
        <w:rPr>
          <w:color w:val="auto"/>
          <w:sz w:val="48"/>
          <w:szCs w:val="48"/>
        </w:rPr>
        <w:t xml:space="preserve">ILMpact </w:t>
      </w:r>
    </w:p>
    <w:p w14:paraId="246D86A0" w14:textId="77777777" w:rsidR="00895CE1" w:rsidRDefault="00895CE1" w:rsidP="005D18D8">
      <w:pPr>
        <w:pStyle w:val="HeadingC"/>
        <w:spacing w:before="0" w:after="0"/>
        <w:rPr>
          <w:color w:val="auto"/>
        </w:rPr>
      </w:pPr>
    </w:p>
    <w:p w14:paraId="700A407F" w14:textId="2AC6B72A" w:rsidR="00DC4ED1" w:rsidRPr="009505DF" w:rsidRDefault="00A25B7B" w:rsidP="005D18D8">
      <w:pPr>
        <w:pStyle w:val="HeadingC"/>
        <w:spacing w:before="0" w:after="0"/>
        <w:rPr>
          <w:color w:val="auto"/>
        </w:rPr>
      </w:pPr>
      <w:r w:rsidRPr="009505DF">
        <w:rPr>
          <w:color w:val="auto"/>
        </w:rPr>
        <w:t>Purpose</w:t>
      </w:r>
    </w:p>
    <w:p w14:paraId="26724468" w14:textId="589B167A" w:rsidR="009B4C05" w:rsidRPr="009505DF" w:rsidRDefault="002475B0" w:rsidP="005D18D8">
      <w:pPr>
        <w:pStyle w:val="HeadingC"/>
        <w:spacing w:before="0" w:after="0"/>
        <w:rPr>
          <w:rFonts w:eastAsiaTheme="minorEastAsia" w:cstheme="minorBidi"/>
          <w:b w:val="0"/>
          <w:color w:val="auto"/>
          <w:sz w:val="24"/>
        </w:rPr>
      </w:pPr>
      <w:r w:rsidRPr="009505DF">
        <w:rPr>
          <w:rFonts w:eastAsiaTheme="minorEastAsia" w:cstheme="minorBidi"/>
          <w:b w:val="0"/>
          <w:color w:val="auto"/>
          <w:sz w:val="24"/>
        </w:rPr>
        <w:t>The evaluation will assess the extent to which the ILMpact remedial learning model has improved student learning outcomes and generated evidence to inform future scale-up. Specifically, the evaluation aims to: (1) independently validate the quality, reliability, and robustness of existing programme and assessment data; (2) assess the effectiveness of the model in improving learning outcomes; and (3) analyse the costs and value for money associated with achieving these results to support decisions on scalability and sustainability.</w:t>
      </w:r>
    </w:p>
    <w:p w14:paraId="6F919979" w14:textId="77777777" w:rsidR="009B4C05" w:rsidRPr="009505DF" w:rsidRDefault="009B4C05" w:rsidP="005D18D8">
      <w:pPr>
        <w:pStyle w:val="HeadingC"/>
        <w:spacing w:before="0" w:after="0"/>
        <w:rPr>
          <w:rFonts w:eastAsiaTheme="minorEastAsia" w:cstheme="minorBidi"/>
          <w:b w:val="0"/>
          <w:color w:val="auto"/>
          <w:sz w:val="24"/>
        </w:rPr>
      </w:pPr>
    </w:p>
    <w:tbl>
      <w:tblPr>
        <w:tblStyle w:val="TableGrid1"/>
        <w:tblW w:w="0" w:type="auto"/>
        <w:tblInd w:w="0" w:type="dxa"/>
        <w:tblBorders>
          <w:top w:val="single" w:sz="4" w:space="0" w:color="B25EFF"/>
          <w:left w:val="single" w:sz="4" w:space="0" w:color="B25EFF"/>
          <w:bottom w:val="single" w:sz="4" w:space="0" w:color="B25EFF"/>
          <w:right w:val="single" w:sz="4" w:space="0" w:color="B25EFF"/>
          <w:insideH w:val="single" w:sz="4" w:space="0" w:color="B25EFF"/>
          <w:insideV w:val="single" w:sz="4" w:space="0" w:color="B25EFF"/>
        </w:tblBorders>
        <w:tblLook w:val="01E0" w:firstRow="1" w:lastRow="1" w:firstColumn="1" w:lastColumn="1" w:noHBand="0" w:noVBand="0"/>
      </w:tblPr>
      <w:tblGrid>
        <w:gridCol w:w="3329"/>
        <w:gridCol w:w="6697"/>
      </w:tblGrid>
      <w:tr w:rsidR="009505DF" w:rsidRPr="009505DF" w14:paraId="1015BE65" w14:textId="77777777" w:rsidTr="4E468EDA">
        <w:tc>
          <w:tcPr>
            <w:tcW w:w="3329" w:type="dxa"/>
            <w:hideMark/>
          </w:tcPr>
          <w:p w14:paraId="22B2E624" w14:textId="77777777" w:rsidR="00C002E7" w:rsidRPr="009505DF" w:rsidRDefault="00C002E7" w:rsidP="005D18D8">
            <w:pPr>
              <w:spacing w:after="0"/>
              <w:rPr>
                <w:rFonts w:eastAsia="Arial Unicode MS"/>
                <w:sz w:val="22"/>
                <w:szCs w:val="22"/>
              </w:rPr>
            </w:pPr>
            <w:r w:rsidRPr="009505DF">
              <w:rPr>
                <w:rFonts w:eastAsia="Arial Unicode MS"/>
                <w:sz w:val="22"/>
                <w:szCs w:val="22"/>
              </w:rPr>
              <w:t>Document owner</w:t>
            </w:r>
          </w:p>
        </w:tc>
        <w:tc>
          <w:tcPr>
            <w:tcW w:w="6697" w:type="dxa"/>
          </w:tcPr>
          <w:p w14:paraId="4433BE3B" w14:textId="77777777" w:rsidR="00C002E7" w:rsidRPr="009505DF" w:rsidRDefault="00DC4ED1" w:rsidP="005D18D8">
            <w:pPr>
              <w:spacing w:after="0"/>
              <w:rPr>
                <w:rFonts w:eastAsia="Arial Unicode MS"/>
                <w:sz w:val="22"/>
                <w:szCs w:val="22"/>
              </w:rPr>
            </w:pPr>
            <w:r w:rsidRPr="009505DF">
              <w:rPr>
                <w:rFonts w:eastAsia="Arial Unicode MS"/>
                <w:sz w:val="22"/>
                <w:szCs w:val="22"/>
              </w:rPr>
              <w:t xml:space="preserve">Rizwan Mehmood </w:t>
            </w:r>
          </w:p>
        </w:tc>
      </w:tr>
      <w:tr w:rsidR="009505DF" w:rsidRPr="009505DF" w14:paraId="2DCC433B" w14:textId="77777777" w:rsidTr="4E468EDA">
        <w:tc>
          <w:tcPr>
            <w:tcW w:w="3329" w:type="dxa"/>
            <w:hideMark/>
          </w:tcPr>
          <w:p w14:paraId="2D35DDD1" w14:textId="77777777" w:rsidR="00C002E7" w:rsidRPr="009505DF" w:rsidRDefault="00C002E7" w:rsidP="005D18D8">
            <w:pPr>
              <w:spacing w:after="0"/>
              <w:rPr>
                <w:rFonts w:eastAsia="Arial Unicode MS"/>
                <w:sz w:val="22"/>
                <w:szCs w:val="22"/>
              </w:rPr>
            </w:pPr>
            <w:r w:rsidRPr="009505DF">
              <w:rPr>
                <w:rFonts w:eastAsia="Arial Unicode MS"/>
                <w:sz w:val="22"/>
                <w:szCs w:val="22"/>
              </w:rPr>
              <w:t>Document author</w:t>
            </w:r>
          </w:p>
        </w:tc>
        <w:tc>
          <w:tcPr>
            <w:tcW w:w="6697" w:type="dxa"/>
          </w:tcPr>
          <w:p w14:paraId="068B6C74" w14:textId="77777777" w:rsidR="00C002E7" w:rsidRPr="009505DF" w:rsidRDefault="00DC4ED1" w:rsidP="005D18D8">
            <w:pPr>
              <w:spacing w:after="0"/>
              <w:rPr>
                <w:rFonts w:eastAsia="Arial Unicode MS"/>
                <w:sz w:val="22"/>
                <w:szCs w:val="22"/>
              </w:rPr>
            </w:pPr>
            <w:r w:rsidRPr="009505DF">
              <w:rPr>
                <w:rFonts w:eastAsia="Arial Unicode MS"/>
                <w:sz w:val="22"/>
                <w:szCs w:val="22"/>
              </w:rPr>
              <w:t xml:space="preserve">Rizwan Mehmood </w:t>
            </w:r>
          </w:p>
        </w:tc>
      </w:tr>
      <w:tr w:rsidR="009505DF" w:rsidRPr="009505DF" w14:paraId="0EEC1CC2" w14:textId="77777777" w:rsidTr="4E468EDA">
        <w:tc>
          <w:tcPr>
            <w:tcW w:w="3329" w:type="dxa"/>
            <w:hideMark/>
          </w:tcPr>
          <w:p w14:paraId="103C04E7" w14:textId="77777777" w:rsidR="00C002E7" w:rsidRPr="009505DF" w:rsidRDefault="00C002E7" w:rsidP="005D18D8">
            <w:pPr>
              <w:spacing w:after="0"/>
              <w:rPr>
                <w:rFonts w:eastAsia="Arial Unicode MS"/>
                <w:sz w:val="22"/>
                <w:szCs w:val="22"/>
              </w:rPr>
            </w:pPr>
            <w:r w:rsidRPr="009505DF">
              <w:rPr>
                <w:rFonts w:eastAsia="Arial Unicode MS"/>
                <w:sz w:val="22"/>
                <w:szCs w:val="22"/>
              </w:rPr>
              <w:t>Current version</w:t>
            </w:r>
          </w:p>
        </w:tc>
        <w:tc>
          <w:tcPr>
            <w:tcW w:w="6697" w:type="dxa"/>
            <w:hideMark/>
          </w:tcPr>
          <w:p w14:paraId="6994DCEB" w14:textId="77777777" w:rsidR="00C002E7" w:rsidRPr="009505DF" w:rsidRDefault="1CCD85BE" w:rsidP="005D18D8">
            <w:pPr>
              <w:spacing w:after="0"/>
              <w:rPr>
                <w:rFonts w:eastAsia="Arial Unicode MS"/>
                <w:sz w:val="22"/>
                <w:szCs w:val="22"/>
              </w:rPr>
            </w:pPr>
            <w:r w:rsidRPr="009505DF">
              <w:rPr>
                <w:rFonts w:eastAsia="Arial Unicode MS"/>
                <w:sz w:val="22"/>
                <w:szCs w:val="22"/>
              </w:rPr>
              <w:t>Version 1</w:t>
            </w:r>
          </w:p>
        </w:tc>
      </w:tr>
      <w:tr w:rsidR="009505DF" w:rsidRPr="009505DF" w14:paraId="269D4305" w14:textId="77777777" w:rsidTr="4E468EDA">
        <w:tc>
          <w:tcPr>
            <w:tcW w:w="3329" w:type="dxa"/>
            <w:hideMark/>
          </w:tcPr>
          <w:p w14:paraId="1317FBD9" w14:textId="77777777" w:rsidR="00C002E7" w:rsidRPr="009505DF" w:rsidRDefault="00C002E7" w:rsidP="005D18D8">
            <w:pPr>
              <w:spacing w:after="0"/>
              <w:rPr>
                <w:rFonts w:eastAsia="Arial Unicode MS"/>
                <w:sz w:val="22"/>
                <w:szCs w:val="22"/>
              </w:rPr>
            </w:pPr>
            <w:r w:rsidRPr="009505DF">
              <w:rPr>
                <w:rFonts w:eastAsia="Arial Unicode MS"/>
                <w:sz w:val="22"/>
                <w:szCs w:val="22"/>
              </w:rPr>
              <w:t>Issue date</w:t>
            </w:r>
          </w:p>
        </w:tc>
        <w:tc>
          <w:tcPr>
            <w:tcW w:w="6697" w:type="dxa"/>
            <w:hideMark/>
          </w:tcPr>
          <w:p w14:paraId="1A255E3E" w14:textId="77777777" w:rsidR="00C002E7" w:rsidRPr="009505DF" w:rsidRDefault="00DC4ED1" w:rsidP="005D18D8">
            <w:pPr>
              <w:spacing w:after="0"/>
              <w:rPr>
                <w:rFonts w:eastAsia="Arial Unicode MS"/>
                <w:sz w:val="22"/>
                <w:szCs w:val="22"/>
              </w:rPr>
            </w:pPr>
            <w:r w:rsidRPr="009505DF">
              <w:rPr>
                <w:rFonts w:eastAsia="Arial Unicode MS"/>
                <w:sz w:val="22"/>
                <w:szCs w:val="22"/>
              </w:rPr>
              <w:t>18 May 2026</w:t>
            </w:r>
          </w:p>
        </w:tc>
      </w:tr>
      <w:tr w:rsidR="009505DF" w:rsidRPr="009505DF" w14:paraId="5CC8A39E" w14:textId="77777777" w:rsidTr="4E468EDA">
        <w:tc>
          <w:tcPr>
            <w:tcW w:w="3329" w:type="dxa"/>
          </w:tcPr>
          <w:p w14:paraId="7A20F021" w14:textId="77777777" w:rsidR="000866EE" w:rsidRPr="009505DF" w:rsidRDefault="000866EE" w:rsidP="005D18D8">
            <w:pPr>
              <w:spacing w:after="0"/>
              <w:rPr>
                <w:rFonts w:eastAsia="Arial Unicode MS"/>
                <w:sz w:val="22"/>
                <w:szCs w:val="22"/>
              </w:rPr>
            </w:pPr>
            <w:r w:rsidRPr="009505DF">
              <w:rPr>
                <w:rFonts w:eastAsia="Arial Unicode MS"/>
                <w:sz w:val="22"/>
                <w:szCs w:val="22"/>
              </w:rPr>
              <w:t>Apply By</w:t>
            </w:r>
          </w:p>
        </w:tc>
        <w:tc>
          <w:tcPr>
            <w:tcW w:w="6697" w:type="dxa"/>
          </w:tcPr>
          <w:p w14:paraId="5CA90F9B" w14:textId="60A12D1B" w:rsidR="000866EE" w:rsidRPr="009505DF" w:rsidRDefault="00C030D1" w:rsidP="005D18D8">
            <w:pPr>
              <w:spacing w:after="0"/>
              <w:rPr>
                <w:rFonts w:eastAsia="Arial Unicode MS"/>
                <w:sz w:val="22"/>
                <w:szCs w:val="22"/>
              </w:rPr>
            </w:pPr>
            <w:r>
              <w:rPr>
                <w:rFonts w:eastAsia="Arial Unicode MS"/>
                <w:sz w:val="22"/>
                <w:szCs w:val="22"/>
              </w:rPr>
              <w:t>1</w:t>
            </w:r>
            <w:r w:rsidR="009F0978">
              <w:rPr>
                <w:rFonts w:eastAsia="Arial Unicode MS"/>
                <w:sz w:val="22"/>
                <w:szCs w:val="22"/>
              </w:rPr>
              <w:t>5</w:t>
            </w:r>
            <w:r>
              <w:rPr>
                <w:rFonts w:eastAsia="Arial Unicode MS"/>
                <w:sz w:val="22"/>
                <w:szCs w:val="22"/>
              </w:rPr>
              <w:t xml:space="preserve"> </w:t>
            </w:r>
            <w:r w:rsidR="000866EE" w:rsidRPr="009505DF">
              <w:rPr>
                <w:rFonts w:eastAsia="Arial Unicode MS"/>
                <w:sz w:val="22"/>
                <w:szCs w:val="22"/>
              </w:rPr>
              <w:t>June 2026</w:t>
            </w:r>
          </w:p>
        </w:tc>
      </w:tr>
      <w:tr w:rsidR="009505DF" w:rsidRPr="009505DF" w14:paraId="61469C64" w14:textId="77777777" w:rsidTr="4E468EDA">
        <w:tc>
          <w:tcPr>
            <w:tcW w:w="3329" w:type="dxa"/>
            <w:hideMark/>
          </w:tcPr>
          <w:p w14:paraId="1839DD56" w14:textId="77777777" w:rsidR="00C002E7" w:rsidRPr="009505DF" w:rsidRDefault="00C002E7" w:rsidP="005D18D8">
            <w:pPr>
              <w:spacing w:after="0"/>
              <w:rPr>
                <w:rFonts w:eastAsia="Arial Unicode MS"/>
                <w:sz w:val="22"/>
                <w:szCs w:val="22"/>
              </w:rPr>
            </w:pPr>
            <w:r w:rsidRPr="009505DF">
              <w:rPr>
                <w:rFonts w:eastAsia="Arial Unicode MS"/>
                <w:sz w:val="22"/>
                <w:szCs w:val="22"/>
              </w:rPr>
              <w:t>Project reference</w:t>
            </w:r>
          </w:p>
        </w:tc>
        <w:tc>
          <w:tcPr>
            <w:tcW w:w="6697" w:type="dxa"/>
            <w:hideMark/>
          </w:tcPr>
          <w:p w14:paraId="7EECE629" w14:textId="77777777" w:rsidR="00C002E7" w:rsidRPr="009505DF" w:rsidRDefault="00DC4ED1" w:rsidP="005D18D8">
            <w:pPr>
              <w:spacing w:after="0"/>
              <w:rPr>
                <w:rFonts w:eastAsia="Arial Unicode MS"/>
                <w:sz w:val="22"/>
                <w:szCs w:val="22"/>
              </w:rPr>
            </w:pPr>
            <w:r w:rsidRPr="009505DF">
              <w:rPr>
                <w:rFonts w:eastAsia="Arial Unicode MS"/>
                <w:sz w:val="22"/>
                <w:szCs w:val="22"/>
              </w:rPr>
              <w:t>ILMpact Programme funded by FCDO</w:t>
            </w:r>
          </w:p>
        </w:tc>
      </w:tr>
      <w:tr w:rsidR="00CA6A14" w:rsidRPr="009505DF" w14:paraId="5AC255CC" w14:textId="77777777" w:rsidTr="4E468EDA">
        <w:tc>
          <w:tcPr>
            <w:tcW w:w="3329" w:type="dxa"/>
          </w:tcPr>
          <w:p w14:paraId="6CEA9EF0" w14:textId="77777777" w:rsidR="00CA6A14" w:rsidRPr="009505DF" w:rsidRDefault="00CA6A14" w:rsidP="005D18D8">
            <w:pPr>
              <w:spacing w:after="0"/>
              <w:rPr>
                <w:rFonts w:eastAsia="Arial Unicode MS"/>
                <w:sz w:val="22"/>
                <w:szCs w:val="22"/>
              </w:rPr>
            </w:pPr>
            <w:r w:rsidRPr="009505DF">
              <w:rPr>
                <w:rFonts w:eastAsia="Arial Unicode MS"/>
                <w:sz w:val="22"/>
                <w:szCs w:val="22"/>
              </w:rPr>
              <w:t>File location</w:t>
            </w:r>
          </w:p>
        </w:tc>
        <w:tc>
          <w:tcPr>
            <w:tcW w:w="6697" w:type="dxa"/>
          </w:tcPr>
          <w:p w14:paraId="7FE04BA1" w14:textId="77777777" w:rsidR="00CA6A14" w:rsidRPr="009505DF" w:rsidRDefault="00CA6A14" w:rsidP="005D18D8">
            <w:pPr>
              <w:spacing w:after="0"/>
              <w:rPr>
                <w:rFonts w:eastAsia="Arial Unicode MS"/>
                <w:sz w:val="22"/>
                <w:szCs w:val="22"/>
              </w:rPr>
            </w:pPr>
          </w:p>
        </w:tc>
      </w:tr>
    </w:tbl>
    <w:p w14:paraId="6C626C1E" w14:textId="77777777" w:rsidR="005D18D8" w:rsidRPr="009505DF" w:rsidRDefault="005D18D8" w:rsidP="005D18D8">
      <w:pPr>
        <w:pStyle w:val="HeadingC"/>
        <w:spacing w:before="0" w:after="0"/>
        <w:rPr>
          <w:rFonts w:eastAsiaTheme="minorEastAsia" w:cs="Arial"/>
          <w:bCs/>
          <w:color w:val="auto"/>
          <w:szCs w:val="28"/>
        </w:rPr>
      </w:pPr>
    </w:p>
    <w:p w14:paraId="16DAA227" w14:textId="4BD3E3AE" w:rsidR="00D9762A" w:rsidRPr="009505DF" w:rsidRDefault="00F6651C" w:rsidP="005D18D8">
      <w:pPr>
        <w:pStyle w:val="HeadingC"/>
        <w:spacing w:before="0" w:after="0"/>
        <w:rPr>
          <w:rFonts w:cs="Arial"/>
          <w:color w:val="auto"/>
        </w:rPr>
      </w:pPr>
      <w:r w:rsidRPr="009505DF">
        <w:rPr>
          <w:rFonts w:eastAsiaTheme="minorEastAsia" w:cs="Arial"/>
          <w:bCs/>
          <w:color w:val="auto"/>
          <w:szCs w:val="28"/>
        </w:rPr>
        <w:t>Consultancy role title:</w:t>
      </w:r>
      <w:r w:rsidRPr="009505DF">
        <w:rPr>
          <w:rFonts w:cs="Arial"/>
          <w:color w:val="auto"/>
        </w:rPr>
        <w:t xml:space="preserve"> </w:t>
      </w:r>
      <w:r w:rsidRPr="009505DF">
        <w:rPr>
          <w:rFonts w:eastAsiaTheme="minorEastAsia" w:cstheme="minorBidi"/>
          <w:b w:val="0"/>
          <w:color w:val="auto"/>
          <w:sz w:val="24"/>
        </w:rPr>
        <w:t xml:space="preserve">Independent Evaluation of ILMpact Programme </w:t>
      </w:r>
      <w:r w:rsidR="002475B0" w:rsidRPr="009505DF">
        <w:rPr>
          <w:rFonts w:eastAsiaTheme="minorEastAsia" w:cstheme="minorBidi"/>
          <w:b w:val="0"/>
          <w:color w:val="auto"/>
          <w:sz w:val="24"/>
        </w:rPr>
        <w:t>funded by the Foreign and Commonwealth Development Office (FCDO)</w:t>
      </w:r>
    </w:p>
    <w:p w14:paraId="0FDAF1C9" w14:textId="77777777" w:rsidR="002475B0" w:rsidRPr="009505DF" w:rsidRDefault="002475B0" w:rsidP="005D18D8">
      <w:pPr>
        <w:spacing w:after="0"/>
        <w:jc w:val="both"/>
        <w:rPr>
          <w:rFonts w:cs="Arial"/>
          <w:b/>
          <w:bCs/>
          <w:sz w:val="28"/>
          <w:szCs w:val="28"/>
        </w:rPr>
      </w:pPr>
    </w:p>
    <w:p w14:paraId="5C8B7155" w14:textId="50BA22EE" w:rsidR="00747359" w:rsidRPr="009505DF" w:rsidRDefault="00747359" w:rsidP="005D18D8">
      <w:pPr>
        <w:spacing w:after="0"/>
        <w:jc w:val="both"/>
        <w:rPr>
          <w:rFonts w:cs="Arial"/>
          <w:b/>
          <w:bCs/>
          <w:sz w:val="28"/>
          <w:szCs w:val="28"/>
        </w:rPr>
      </w:pPr>
      <w:r w:rsidRPr="009505DF">
        <w:rPr>
          <w:rFonts w:cs="Arial"/>
          <w:b/>
          <w:bCs/>
          <w:sz w:val="28"/>
          <w:szCs w:val="28"/>
        </w:rPr>
        <w:t>Location:</w:t>
      </w:r>
      <w:r w:rsidRPr="009505DF">
        <w:t xml:space="preserve"> Islamabad </w:t>
      </w:r>
    </w:p>
    <w:p w14:paraId="6C87A870" w14:textId="77777777" w:rsidR="009109BD" w:rsidRPr="009505DF" w:rsidRDefault="009109BD" w:rsidP="005D18D8">
      <w:pPr>
        <w:spacing w:after="0"/>
        <w:jc w:val="both"/>
        <w:rPr>
          <w:rFonts w:cs="Arial"/>
          <w:b/>
          <w:sz w:val="28"/>
          <w:szCs w:val="28"/>
        </w:rPr>
      </w:pPr>
    </w:p>
    <w:p w14:paraId="2B55B35F" w14:textId="6647E738" w:rsidR="005D18D8" w:rsidRPr="009505DF" w:rsidRDefault="00747359" w:rsidP="005D18D8">
      <w:pPr>
        <w:spacing w:after="0"/>
        <w:jc w:val="both"/>
        <w:rPr>
          <w:rFonts w:cs="Arial"/>
          <w:sz w:val="28"/>
          <w:szCs w:val="28"/>
        </w:rPr>
      </w:pPr>
      <w:r w:rsidRPr="009505DF">
        <w:rPr>
          <w:rFonts w:cs="Arial"/>
          <w:b/>
          <w:sz w:val="28"/>
          <w:szCs w:val="28"/>
        </w:rPr>
        <w:t xml:space="preserve">Apply by: </w:t>
      </w:r>
      <w:r w:rsidR="00C030D1">
        <w:rPr>
          <w:rFonts w:cs="Arial"/>
          <w:b/>
          <w:sz w:val="28"/>
          <w:szCs w:val="28"/>
        </w:rPr>
        <w:t>1</w:t>
      </w:r>
      <w:r w:rsidR="009F0978">
        <w:rPr>
          <w:rFonts w:cs="Arial"/>
          <w:b/>
          <w:sz w:val="28"/>
          <w:szCs w:val="28"/>
        </w:rPr>
        <w:t>5</w:t>
      </w:r>
      <w:r w:rsidRPr="009505DF">
        <w:rPr>
          <w:rFonts w:cs="Arial"/>
          <w:b/>
          <w:sz w:val="28"/>
          <w:szCs w:val="28"/>
        </w:rPr>
        <w:t xml:space="preserve"> June 2026</w:t>
      </w:r>
      <w:r w:rsidRPr="009505DF">
        <w:rPr>
          <w:rFonts w:cs="Arial"/>
          <w:sz w:val="28"/>
          <w:szCs w:val="28"/>
        </w:rPr>
        <w:t xml:space="preserve">  </w:t>
      </w:r>
    </w:p>
    <w:p w14:paraId="11CEFF88" w14:textId="77777777" w:rsidR="00747359" w:rsidRPr="009505DF" w:rsidRDefault="00747359" w:rsidP="005D18D8">
      <w:pPr>
        <w:spacing w:after="0"/>
        <w:jc w:val="both"/>
        <w:rPr>
          <w:rFonts w:cs="Arial"/>
          <w:sz w:val="28"/>
          <w:szCs w:val="28"/>
        </w:rPr>
      </w:pPr>
      <w:r w:rsidRPr="009505DF">
        <w:rPr>
          <w:rFonts w:cs="Arial"/>
          <w:sz w:val="28"/>
          <w:szCs w:val="28"/>
        </w:rPr>
        <w:t xml:space="preserve"> </w:t>
      </w:r>
    </w:p>
    <w:p w14:paraId="4D2DCAD7" w14:textId="77777777" w:rsidR="00C3185F" w:rsidRPr="009505DF" w:rsidRDefault="000E725C" w:rsidP="005D18D8">
      <w:pPr>
        <w:pStyle w:val="HeadingC"/>
        <w:numPr>
          <w:ilvl w:val="1"/>
          <w:numId w:val="24"/>
        </w:numPr>
        <w:spacing w:before="0" w:after="0"/>
        <w:rPr>
          <w:color w:val="auto"/>
        </w:rPr>
      </w:pPr>
      <w:r w:rsidRPr="009505DF">
        <w:rPr>
          <w:color w:val="auto"/>
        </w:rPr>
        <w:t>Background and context about the project</w:t>
      </w:r>
    </w:p>
    <w:p w14:paraId="70CB6A0D" w14:textId="77777777" w:rsidR="00DC4ED1" w:rsidRPr="009505DF" w:rsidRDefault="00DC4ED1" w:rsidP="005D18D8">
      <w:pPr>
        <w:spacing w:after="0"/>
        <w:jc w:val="both"/>
      </w:pPr>
      <w:r w:rsidRPr="009505DF">
        <w:rPr>
          <w:rFonts w:eastAsia="Arial" w:cs="Arial"/>
          <w:sz w:val="22"/>
          <w:szCs w:val="22"/>
        </w:rPr>
        <w:t>ILMpact is a multi-year education programme operating across fifteen districts in Punjab and Khyber Pakhtunkhwa with the goal of improving foundational literacy and numeracy (FLN) for marginalised children, particularly girls. The programme's primary intervention is a Remedial Learning (RL) model adapted from Teaching at the Right Level (TaRL) approaches, targeting children in Grades 3–5 enrolled in schools, and out-of-school children (OOSC) aged 8–12 through Catch-up Learning Camps (CLP) camps. The programme is also implementing other interventions as well including life skills training, STEAM club formations, accessibility, and rehabilitation in schools to differently abled children and safeguarding trainings to make schools safe and inclusive. With a whole school approach, the programme has targeted children from ECE to Grade 10 under different interventions.</w:t>
      </w:r>
    </w:p>
    <w:p w14:paraId="46B06DA8" w14:textId="77777777" w:rsidR="00DC4ED1" w:rsidRPr="009505DF" w:rsidRDefault="00DC4ED1" w:rsidP="005D18D8">
      <w:pPr>
        <w:spacing w:after="0"/>
        <w:jc w:val="both"/>
        <w:rPr>
          <w:rFonts w:eastAsia="Arial" w:cs="Arial"/>
          <w:sz w:val="22"/>
          <w:szCs w:val="22"/>
        </w:rPr>
      </w:pPr>
    </w:p>
    <w:p w14:paraId="796BA676" w14:textId="77777777" w:rsidR="00CC2865" w:rsidRPr="009505DF" w:rsidRDefault="00DC4ED1" w:rsidP="005D18D8">
      <w:pPr>
        <w:spacing w:after="0"/>
        <w:jc w:val="both"/>
        <w:rPr>
          <w:rFonts w:eastAsia="Arial" w:cs="Arial"/>
          <w:sz w:val="22"/>
          <w:szCs w:val="22"/>
        </w:rPr>
      </w:pPr>
      <w:r w:rsidRPr="009505DF">
        <w:rPr>
          <w:rFonts w:eastAsia="Arial" w:cs="Arial"/>
          <w:sz w:val="22"/>
          <w:szCs w:val="22"/>
        </w:rPr>
        <w:t xml:space="preserve">In FY 2025–26, the programme reached 48,471 learners across remedial learning and 15,207 OOSC through CLP camps. Overall, the programme benefitted more than 200,000 children in 400 schools. The midline assessment results are encouraging and showed an average 14% improvement in learning </w:t>
      </w:r>
      <w:r w:rsidRPr="009505DF">
        <w:rPr>
          <w:rFonts w:eastAsia="Arial" w:cs="Arial"/>
          <w:sz w:val="22"/>
          <w:szCs w:val="22"/>
        </w:rPr>
        <w:lastRenderedPageBreak/>
        <w:t>outcomes across English, Urdu, and Mathematics after approximately 90 days of intervention at the midline assessment and anticipates an increase at the endline planned in April 2026. Likewise, ILMpact achieved its output level targets for all other components with first cohort of students. As the programme approaches it closure in September 2026, British Council desire an independent evaluation to assess the effectiveness and scalability of the remedial learning model and generate evidence to inform stakeholders on scale-up decisions, continuity and design challenges while implementing at scale.</w:t>
      </w:r>
    </w:p>
    <w:p w14:paraId="31DDF44E" w14:textId="77777777" w:rsidR="005D18D8" w:rsidRPr="009505DF" w:rsidRDefault="005D18D8" w:rsidP="005D18D8">
      <w:pPr>
        <w:spacing w:after="0"/>
        <w:jc w:val="both"/>
      </w:pPr>
    </w:p>
    <w:p w14:paraId="2AF21C7E" w14:textId="77777777" w:rsidR="00B7710D" w:rsidRPr="009505DF" w:rsidRDefault="00942FB4" w:rsidP="005D18D8">
      <w:pPr>
        <w:pStyle w:val="HeadingC"/>
        <w:numPr>
          <w:ilvl w:val="1"/>
          <w:numId w:val="24"/>
        </w:numPr>
        <w:spacing w:before="0" w:after="0"/>
        <w:rPr>
          <w:color w:val="auto"/>
        </w:rPr>
      </w:pPr>
      <w:r w:rsidRPr="009505DF">
        <w:rPr>
          <w:color w:val="auto"/>
        </w:rPr>
        <w:t xml:space="preserve">About the role of the specialist contractor </w:t>
      </w:r>
    </w:p>
    <w:p w14:paraId="253BE48B" w14:textId="77777777" w:rsidR="009109BD" w:rsidRPr="009505DF" w:rsidRDefault="009109BD" w:rsidP="005D18D8">
      <w:pPr>
        <w:spacing w:after="0"/>
        <w:rPr>
          <w:rFonts w:eastAsia="Arial" w:cs="Arial"/>
          <w:sz w:val="22"/>
          <w:szCs w:val="22"/>
        </w:rPr>
      </w:pPr>
    </w:p>
    <w:p w14:paraId="0ACA12C0" w14:textId="79FCB362" w:rsidR="009109BD" w:rsidRPr="009505DF" w:rsidRDefault="004A5A1A" w:rsidP="004A5A1A">
      <w:pPr>
        <w:spacing w:after="0"/>
        <w:rPr>
          <w:rFonts w:eastAsia="Arial" w:cs="Arial"/>
          <w:sz w:val="22"/>
          <w:szCs w:val="22"/>
        </w:rPr>
      </w:pPr>
      <w:r w:rsidRPr="009505DF">
        <w:rPr>
          <w:rFonts w:eastAsia="Arial" w:cs="Arial"/>
          <w:sz w:val="22"/>
          <w:szCs w:val="22"/>
        </w:rPr>
        <w:t xml:space="preserve">The </w:t>
      </w:r>
      <w:r w:rsidR="00D07809" w:rsidRPr="009505DF">
        <w:rPr>
          <w:rFonts w:eastAsia="Arial" w:cs="Arial"/>
          <w:sz w:val="22"/>
          <w:szCs w:val="22"/>
        </w:rPr>
        <w:t xml:space="preserve">contractor </w:t>
      </w:r>
      <w:r w:rsidRPr="009505DF">
        <w:rPr>
          <w:rFonts w:eastAsia="Arial" w:cs="Arial"/>
          <w:sz w:val="22"/>
          <w:szCs w:val="22"/>
        </w:rPr>
        <w:t>will provide credible and actionable evidence on the performance of the ILMpact remedial learning model. Guided by the OECD-DAC evaluation criteria of Relevance, Effectiveness, Efficiency, Impact, and Sustainability, the assessment will examine the results achieved</w:t>
      </w:r>
      <w:r w:rsidR="00D07809" w:rsidRPr="009505DF">
        <w:rPr>
          <w:rFonts w:eastAsia="Arial" w:cs="Arial"/>
          <w:sz w:val="22"/>
          <w:szCs w:val="22"/>
        </w:rPr>
        <w:t xml:space="preserve"> and validate </w:t>
      </w:r>
      <w:r w:rsidRPr="009505DF">
        <w:rPr>
          <w:rFonts w:eastAsia="Arial" w:cs="Arial"/>
          <w:sz w:val="22"/>
          <w:szCs w:val="22"/>
        </w:rPr>
        <w:t>the reliability and robustness of existing programme and assessment data</w:t>
      </w:r>
      <w:r w:rsidR="00D07809" w:rsidRPr="009505DF">
        <w:rPr>
          <w:rFonts w:eastAsia="Arial" w:cs="Arial"/>
          <w:sz w:val="22"/>
          <w:szCs w:val="22"/>
        </w:rPr>
        <w:t>. The contractor will assess</w:t>
      </w:r>
      <w:r w:rsidRPr="009505DF">
        <w:rPr>
          <w:rFonts w:eastAsia="Arial" w:cs="Arial"/>
          <w:sz w:val="22"/>
          <w:szCs w:val="22"/>
        </w:rPr>
        <w:t xml:space="preserve"> the learning gains attributable to the programme by analysing </w:t>
      </w:r>
      <w:r w:rsidR="00D55D2F">
        <w:rPr>
          <w:rFonts w:eastAsia="Arial" w:cs="Arial"/>
          <w:sz w:val="22"/>
          <w:szCs w:val="22"/>
        </w:rPr>
        <w:t xml:space="preserve">available pre and post </w:t>
      </w:r>
      <w:r w:rsidR="00D07809" w:rsidRPr="009505DF">
        <w:rPr>
          <w:rFonts w:eastAsia="Arial" w:cs="Arial"/>
          <w:sz w:val="22"/>
          <w:szCs w:val="22"/>
        </w:rPr>
        <w:t xml:space="preserve">learning data </w:t>
      </w:r>
      <w:r w:rsidR="00D55D2F">
        <w:rPr>
          <w:rFonts w:eastAsia="Arial" w:cs="Arial"/>
          <w:sz w:val="22"/>
          <w:szCs w:val="22"/>
        </w:rPr>
        <w:t xml:space="preserve">of treatment and control </w:t>
      </w:r>
      <w:r w:rsidR="0077113F">
        <w:rPr>
          <w:rFonts w:eastAsia="Arial" w:cs="Arial"/>
          <w:sz w:val="22"/>
          <w:szCs w:val="22"/>
        </w:rPr>
        <w:t>groups</w:t>
      </w:r>
      <w:r w:rsidR="00D55D2F">
        <w:rPr>
          <w:rFonts w:eastAsia="Arial" w:cs="Arial"/>
          <w:sz w:val="22"/>
          <w:szCs w:val="22"/>
        </w:rPr>
        <w:t xml:space="preserve"> </w:t>
      </w:r>
      <w:r w:rsidR="00D07809" w:rsidRPr="009505DF">
        <w:rPr>
          <w:rFonts w:eastAsia="Arial" w:cs="Arial"/>
          <w:sz w:val="22"/>
          <w:szCs w:val="22"/>
        </w:rPr>
        <w:t xml:space="preserve">and </w:t>
      </w:r>
      <w:r w:rsidR="00D55D2F">
        <w:rPr>
          <w:rFonts w:eastAsia="Arial" w:cs="Arial"/>
          <w:sz w:val="22"/>
          <w:szCs w:val="22"/>
        </w:rPr>
        <w:t xml:space="preserve">will also </w:t>
      </w:r>
      <w:r w:rsidR="00D07809" w:rsidRPr="009505DF">
        <w:rPr>
          <w:rFonts w:eastAsia="Arial" w:cs="Arial"/>
          <w:sz w:val="22"/>
          <w:szCs w:val="22"/>
        </w:rPr>
        <w:t xml:space="preserve">examine the robustness of data collection processes, frequency, quality and consistency of the reported data. The contractor will </w:t>
      </w:r>
      <w:r w:rsidRPr="009505DF">
        <w:rPr>
          <w:rFonts w:eastAsia="Arial" w:cs="Arial"/>
          <w:sz w:val="22"/>
          <w:szCs w:val="22"/>
        </w:rPr>
        <w:t>conduct value-for-money analysis using programme financial data and existing VfM approach adopted by the programme.</w:t>
      </w:r>
      <w:r w:rsidR="00D07809" w:rsidRPr="009505DF">
        <w:rPr>
          <w:rFonts w:eastAsia="Arial" w:cs="Arial"/>
          <w:sz w:val="22"/>
          <w:szCs w:val="22"/>
        </w:rPr>
        <w:t xml:space="preserve"> The key evaluation tasks are:</w:t>
      </w:r>
    </w:p>
    <w:p w14:paraId="282C0D69" w14:textId="77777777" w:rsidR="004A5A1A" w:rsidRPr="009505DF" w:rsidRDefault="004A5A1A" w:rsidP="004A5A1A">
      <w:pPr>
        <w:spacing w:after="0"/>
        <w:rPr>
          <w:rFonts w:eastAsia="Arial" w:cs="Arial"/>
          <w:sz w:val="22"/>
          <w:szCs w:val="22"/>
        </w:rPr>
      </w:pPr>
    </w:p>
    <w:p w14:paraId="6BAEFCDF" w14:textId="07E0170A" w:rsidR="00D55D2F" w:rsidRPr="00D55D2F" w:rsidRDefault="00D55D2F" w:rsidP="00DD7022">
      <w:pPr>
        <w:pStyle w:val="ListParagraph"/>
        <w:numPr>
          <w:ilvl w:val="0"/>
          <w:numId w:val="30"/>
        </w:numPr>
        <w:spacing w:after="0"/>
        <w:contextualSpacing w:val="0"/>
      </w:pPr>
      <w:r w:rsidRPr="00D55D2F">
        <w:rPr>
          <w:rFonts w:eastAsia="Arial" w:cs="Arial"/>
          <w:b/>
          <w:bCs/>
          <w:sz w:val="22"/>
          <w:szCs w:val="22"/>
        </w:rPr>
        <w:t xml:space="preserve">Pre-Post Comparative Analysis: </w:t>
      </w:r>
      <w:r w:rsidR="0077113F" w:rsidRPr="00D55D2F">
        <w:rPr>
          <w:rFonts w:eastAsia="Arial" w:cs="Arial"/>
          <w:sz w:val="22"/>
          <w:szCs w:val="22"/>
        </w:rPr>
        <w:t>To</w:t>
      </w:r>
      <w:r w:rsidRPr="00D55D2F">
        <w:rPr>
          <w:rFonts w:eastAsia="Arial" w:cs="Arial"/>
          <w:sz w:val="22"/>
          <w:szCs w:val="22"/>
        </w:rPr>
        <w:t xml:space="preserve"> assess changes in key outcome indicators over the course of the programme, the evaluation will utilise a pre-post comparative analysis drawing upon data collected across baseline, midline, and endline rounds from both treatment and comparison groups. </w:t>
      </w:r>
      <w:r>
        <w:rPr>
          <w:rFonts w:eastAsia="Arial" w:cs="Arial"/>
          <w:sz w:val="22"/>
          <w:szCs w:val="22"/>
        </w:rPr>
        <w:t xml:space="preserve">The dataset used for this evaluation has been gathered by a </w:t>
      </w:r>
      <w:r w:rsidR="0077113F">
        <w:rPr>
          <w:rFonts w:eastAsia="Arial" w:cs="Arial"/>
          <w:sz w:val="22"/>
          <w:szCs w:val="22"/>
        </w:rPr>
        <w:t>third-party</w:t>
      </w:r>
      <w:r>
        <w:rPr>
          <w:rFonts w:eastAsia="Arial" w:cs="Arial"/>
          <w:sz w:val="22"/>
          <w:szCs w:val="22"/>
        </w:rPr>
        <w:t xml:space="preserve"> monitoring firm from both control (</w:t>
      </w:r>
      <w:r w:rsidR="0077113F">
        <w:rPr>
          <w:rFonts w:eastAsia="Arial" w:cs="Arial"/>
          <w:sz w:val="22"/>
          <w:szCs w:val="22"/>
        </w:rPr>
        <w:t>non-implementation</w:t>
      </w:r>
      <w:r>
        <w:rPr>
          <w:rFonts w:eastAsia="Arial" w:cs="Arial"/>
          <w:sz w:val="22"/>
          <w:szCs w:val="22"/>
        </w:rPr>
        <w:t xml:space="preserve"> Tehsils) and treatment (Implementation Tehsils) from within the same districts. </w:t>
      </w:r>
      <w:r w:rsidRPr="00D55D2F">
        <w:rPr>
          <w:rFonts w:eastAsia="Arial" w:cs="Arial"/>
          <w:sz w:val="22"/>
          <w:szCs w:val="22"/>
        </w:rPr>
        <w:t xml:space="preserve">This approach will enable the evaluation team to examine how selected indicators have evolved over the programme period and to what extent observed changes in treatment </w:t>
      </w:r>
      <w:r>
        <w:rPr>
          <w:rFonts w:eastAsia="Arial" w:cs="Arial"/>
          <w:sz w:val="22"/>
          <w:szCs w:val="22"/>
        </w:rPr>
        <w:t xml:space="preserve">children </w:t>
      </w:r>
      <w:r w:rsidRPr="00D55D2F">
        <w:rPr>
          <w:rFonts w:eastAsia="Arial" w:cs="Arial"/>
          <w:sz w:val="22"/>
          <w:szCs w:val="22"/>
        </w:rPr>
        <w:t xml:space="preserve">reflect a different trajectory as compared to </w:t>
      </w:r>
      <w:r>
        <w:rPr>
          <w:rFonts w:eastAsia="Arial" w:cs="Arial"/>
          <w:sz w:val="22"/>
          <w:szCs w:val="22"/>
        </w:rPr>
        <w:t xml:space="preserve">children </w:t>
      </w:r>
      <w:r w:rsidRPr="00D55D2F">
        <w:rPr>
          <w:rFonts w:eastAsia="Arial" w:cs="Arial"/>
          <w:sz w:val="22"/>
          <w:szCs w:val="22"/>
        </w:rPr>
        <w:t>in the comparison group, thereby providing a structured basis for understanding programme contribution within the broader contextual environment. It is however acknowledged that the quality and consistency of data across collection rounds may present certain limitations, and accordingly, findings emerging from this analysis will be interpreted with due caution and presented alongside relevant caveats to ensure that conclusions remain within the bounds of what the evidence can reasonably support. The pre-post comparative analysis is therefore intended not to establish definitive causal claims but rather to offer a transparent and evidence-informed understanding of change patterns observed across the programme period, contributing meaningfully to the overall assessment of programme performance and effectiveness.</w:t>
      </w:r>
    </w:p>
    <w:p w14:paraId="388CE88B" w14:textId="328B2036" w:rsidR="00DC4ED1" w:rsidRPr="009505DF" w:rsidRDefault="00DC4ED1" w:rsidP="0056743B">
      <w:pPr>
        <w:pStyle w:val="ListParagraph"/>
        <w:numPr>
          <w:ilvl w:val="0"/>
          <w:numId w:val="30"/>
        </w:numPr>
        <w:spacing w:after="0"/>
        <w:contextualSpacing w:val="0"/>
      </w:pPr>
      <w:r w:rsidRPr="009505DF">
        <w:rPr>
          <w:rFonts w:eastAsia="Arial" w:cs="Arial"/>
          <w:b/>
          <w:bCs/>
          <w:sz w:val="22"/>
          <w:szCs w:val="22"/>
        </w:rPr>
        <w:t>Learning Gains (Effectiveness):</w:t>
      </w:r>
      <w:r w:rsidRPr="009505DF">
        <w:rPr>
          <w:rFonts w:eastAsia="Arial" w:cs="Arial"/>
          <w:sz w:val="22"/>
          <w:szCs w:val="22"/>
        </w:rPr>
        <w:t xml:space="preserve"> Drawing on the verified dataset, assess whether the programme has produced measurable improvements in FLN outcomes across English, Urdu, and Mathematics, disaggregated by gender, province, and disability status where the data permit</w:t>
      </w:r>
      <w:r w:rsidR="00D55D2F">
        <w:rPr>
          <w:rFonts w:eastAsia="Arial" w:cs="Arial"/>
          <w:sz w:val="22"/>
          <w:szCs w:val="22"/>
        </w:rPr>
        <w:t xml:space="preserve"> defined in the project LFA.</w:t>
      </w:r>
    </w:p>
    <w:p w14:paraId="10C1EAE0" w14:textId="3DB7FA23" w:rsidR="00DC4ED1" w:rsidRPr="00D55D2F" w:rsidRDefault="00DC4ED1" w:rsidP="005D18D8">
      <w:pPr>
        <w:pStyle w:val="ListParagraph"/>
        <w:numPr>
          <w:ilvl w:val="0"/>
          <w:numId w:val="30"/>
        </w:numPr>
        <w:spacing w:after="0"/>
        <w:contextualSpacing w:val="0"/>
      </w:pPr>
      <w:r w:rsidRPr="009505DF">
        <w:rPr>
          <w:rFonts w:eastAsia="Arial" w:cs="Arial"/>
          <w:b/>
          <w:bCs/>
          <w:sz w:val="22"/>
          <w:szCs w:val="22"/>
        </w:rPr>
        <w:t>Cost and Efficiency (proportionate VfM analysis):</w:t>
      </w:r>
      <w:r w:rsidRPr="009505DF">
        <w:rPr>
          <w:rFonts w:eastAsia="Arial" w:cs="Arial"/>
          <w:sz w:val="22"/>
          <w:szCs w:val="22"/>
        </w:rPr>
        <w:t xml:space="preserve"> </w:t>
      </w:r>
      <w:r w:rsidR="004433DE" w:rsidRPr="009505DF">
        <w:rPr>
          <w:rFonts w:eastAsia="Arial" w:cs="Arial"/>
          <w:sz w:val="22"/>
          <w:szCs w:val="22"/>
        </w:rPr>
        <w:t xml:space="preserve">Develop </w:t>
      </w:r>
      <w:r w:rsidRPr="009505DF">
        <w:rPr>
          <w:rFonts w:eastAsia="Arial" w:cs="Arial"/>
          <w:sz w:val="22"/>
          <w:szCs w:val="22"/>
        </w:rPr>
        <w:t>a credible and proportionate approach to value for money</w:t>
      </w:r>
      <w:r w:rsidR="004433DE" w:rsidRPr="009505DF">
        <w:rPr>
          <w:rFonts w:eastAsia="Arial" w:cs="Arial"/>
          <w:sz w:val="22"/>
          <w:szCs w:val="22"/>
        </w:rPr>
        <w:t xml:space="preserve"> for different elements of the programme</w:t>
      </w:r>
      <w:r w:rsidRPr="009505DF">
        <w:rPr>
          <w:rFonts w:eastAsia="Arial" w:cs="Arial"/>
          <w:sz w:val="22"/>
          <w:szCs w:val="22"/>
        </w:rPr>
        <w:t>, drawing on programme financials and existing VfM</w:t>
      </w:r>
      <w:r w:rsidR="004433DE" w:rsidRPr="009505DF">
        <w:rPr>
          <w:rFonts w:eastAsia="Arial" w:cs="Arial"/>
          <w:sz w:val="22"/>
          <w:szCs w:val="22"/>
        </w:rPr>
        <w:t xml:space="preserve"> approach implemented by the programme</w:t>
      </w:r>
      <w:r w:rsidRPr="009505DF">
        <w:rPr>
          <w:rFonts w:eastAsia="Arial" w:cs="Arial"/>
          <w:sz w:val="22"/>
          <w:szCs w:val="22"/>
        </w:rPr>
        <w:t xml:space="preserve">. </w:t>
      </w:r>
      <w:r w:rsidR="004433DE" w:rsidRPr="009505DF">
        <w:rPr>
          <w:rFonts w:eastAsia="Arial" w:cs="Arial"/>
          <w:sz w:val="22"/>
          <w:szCs w:val="22"/>
        </w:rPr>
        <w:t>The purpose is to estimate</w:t>
      </w:r>
      <w:r w:rsidRPr="009505DF">
        <w:rPr>
          <w:rFonts w:eastAsia="Arial" w:cs="Arial"/>
          <w:sz w:val="22"/>
          <w:szCs w:val="22"/>
        </w:rPr>
        <w:t xml:space="preserve"> cost per </w:t>
      </w:r>
      <w:r w:rsidR="004433DE" w:rsidRPr="009505DF">
        <w:rPr>
          <w:rFonts w:eastAsia="Arial" w:cs="Arial"/>
          <w:sz w:val="22"/>
          <w:szCs w:val="22"/>
        </w:rPr>
        <w:t xml:space="preserve">child with </w:t>
      </w:r>
      <w:r w:rsidRPr="009505DF">
        <w:rPr>
          <w:rFonts w:eastAsia="Arial" w:cs="Arial"/>
          <w:sz w:val="22"/>
          <w:szCs w:val="22"/>
        </w:rPr>
        <w:t>learning gain achieved</w:t>
      </w:r>
      <w:r w:rsidR="002611EC" w:rsidRPr="009505DF">
        <w:rPr>
          <w:rFonts w:eastAsia="Arial" w:cs="Arial"/>
          <w:sz w:val="22"/>
          <w:szCs w:val="22"/>
        </w:rPr>
        <w:t xml:space="preserve">. </w:t>
      </w:r>
    </w:p>
    <w:p w14:paraId="728F575C" w14:textId="480124FE" w:rsidR="00C030D1" w:rsidRPr="009505DF" w:rsidRDefault="00C030D1" w:rsidP="00C030D1">
      <w:pPr>
        <w:pStyle w:val="ListParagraph"/>
        <w:numPr>
          <w:ilvl w:val="0"/>
          <w:numId w:val="30"/>
        </w:numPr>
        <w:spacing w:after="0"/>
        <w:contextualSpacing w:val="0"/>
      </w:pPr>
      <w:r w:rsidRPr="009505DF">
        <w:rPr>
          <w:rFonts w:eastAsia="Arial" w:cs="Arial"/>
          <w:b/>
          <w:bCs/>
          <w:sz w:val="22"/>
          <w:szCs w:val="22"/>
        </w:rPr>
        <w:t>Data Quality Verification:</w:t>
      </w:r>
      <w:r w:rsidRPr="009505DF">
        <w:rPr>
          <w:rFonts w:eastAsia="Arial" w:cs="Arial"/>
          <w:sz w:val="22"/>
          <w:szCs w:val="22"/>
        </w:rPr>
        <w:t xml:space="preserve"> Independently verify the quality and robustness of existing programme data, </w:t>
      </w:r>
      <w:r w:rsidR="00895CE1" w:rsidRPr="009505DF">
        <w:rPr>
          <w:rFonts w:eastAsia="Arial" w:cs="Arial"/>
          <w:sz w:val="22"/>
          <w:szCs w:val="22"/>
        </w:rPr>
        <w:t>including</w:t>
      </w:r>
      <w:r w:rsidRPr="009505DF">
        <w:rPr>
          <w:rFonts w:eastAsia="Arial" w:cs="Arial"/>
          <w:sz w:val="22"/>
          <w:szCs w:val="22"/>
        </w:rPr>
        <w:t xml:space="preserve"> validation of sampling approaches; consistency of data collection processes; assessment of the reliability of reported learning gains; specification of datasets </w:t>
      </w:r>
      <w:r w:rsidR="00895CE1" w:rsidRPr="009505DF">
        <w:rPr>
          <w:rFonts w:eastAsia="Arial" w:cs="Arial"/>
          <w:sz w:val="22"/>
          <w:szCs w:val="22"/>
        </w:rPr>
        <w:t>used.</w:t>
      </w:r>
      <w:r w:rsidRPr="009505DF">
        <w:rPr>
          <w:rFonts w:eastAsia="Arial" w:cs="Arial"/>
          <w:sz w:val="22"/>
          <w:szCs w:val="22"/>
        </w:rPr>
        <w:t xml:space="preserve"> </w:t>
      </w:r>
    </w:p>
    <w:p w14:paraId="686A4D73" w14:textId="0E21E16B" w:rsidR="005D18D8" w:rsidRPr="009505DF" w:rsidRDefault="00C030D1" w:rsidP="005D18D8">
      <w:pPr>
        <w:pStyle w:val="ListParagraph"/>
        <w:numPr>
          <w:ilvl w:val="0"/>
          <w:numId w:val="30"/>
        </w:numPr>
        <w:spacing w:after="0"/>
        <w:contextualSpacing w:val="0"/>
      </w:pPr>
      <w:r w:rsidRPr="00C030D1">
        <w:rPr>
          <w:rFonts w:eastAsia="Arial" w:cs="Arial"/>
          <w:b/>
          <w:bCs/>
          <w:sz w:val="22"/>
          <w:szCs w:val="22"/>
        </w:rPr>
        <w:lastRenderedPageBreak/>
        <w:t>Actionable Recommendations:</w:t>
      </w:r>
      <w:r>
        <w:rPr>
          <w:rFonts w:eastAsia="Arial" w:cs="Arial"/>
          <w:sz w:val="22"/>
          <w:szCs w:val="22"/>
        </w:rPr>
        <w:t xml:space="preserve"> </w:t>
      </w:r>
      <w:r w:rsidR="00DC4ED1" w:rsidRPr="009505DF">
        <w:rPr>
          <w:rFonts w:eastAsia="Arial" w:cs="Arial"/>
          <w:sz w:val="22"/>
          <w:szCs w:val="22"/>
        </w:rPr>
        <w:t>Generate actionable recommendations for British Council, FCDO and provincial governments on model adaptation and scale-up.</w:t>
      </w:r>
    </w:p>
    <w:p w14:paraId="512A2DF0" w14:textId="77777777" w:rsidR="005D18D8" w:rsidRPr="009505DF" w:rsidRDefault="005D18D8" w:rsidP="005D18D8">
      <w:pPr>
        <w:pStyle w:val="ListParagraph"/>
        <w:spacing w:after="0"/>
        <w:ind w:left="600"/>
        <w:contextualSpacing w:val="0"/>
      </w:pPr>
    </w:p>
    <w:p w14:paraId="5A311F03" w14:textId="77777777" w:rsidR="005D18D8" w:rsidRPr="009505DF" w:rsidRDefault="005D18D8" w:rsidP="005D18D8">
      <w:pPr>
        <w:pStyle w:val="HeadingC"/>
        <w:numPr>
          <w:ilvl w:val="1"/>
          <w:numId w:val="24"/>
        </w:numPr>
        <w:spacing w:before="0" w:after="0"/>
        <w:rPr>
          <w:color w:val="auto"/>
        </w:rPr>
      </w:pPr>
      <w:r w:rsidRPr="009505DF">
        <w:rPr>
          <w:color w:val="auto"/>
        </w:rPr>
        <w:t>Key Evaluation Questions</w:t>
      </w:r>
    </w:p>
    <w:p w14:paraId="297F933A" w14:textId="77777777" w:rsidR="009109BD" w:rsidRPr="009505DF" w:rsidRDefault="009109BD" w:rsidP="005D18D8">
      <w:pPr>
        <w:spacing w:after="0"/>
        <w:rPr>
          <w:rFonts w:eastAsia="Arial" w:cs="Arial"/>
          <w:sz w:val="22"/>
          <w:szCs w:val="22"/>
        </w:rPr>
      </w:pPr>
    </w:p>
    <w:p w14:paraId="14EB77EF" w14:textId="361A46D6" w:rsidR="009109BD" w:rsidRPr="009505DF" w:rsidRDefault="005D18D8" w:rsidP="005D18D8">
      <w:pPr>
        <w:spacing w:after="0"/>
        <w:rPr>
          <w:rFonts w:eastAsia="Arial" w:cs="Arial"/>
          <w:b/>
          <w:bCs/>
        </w:rPr>
      </w:pPr>
      <w:r w:rsidRPr="009505DF">
        <w:rPr>
          <w:rFonts w:eastAsia="Arial" w:cs="Arial"/>
          <w:sz w:val="22"/>
          <w:szCs w:val="22"/>
        </w:rPr>
        <w:t xml:space="preserve">The below are proposed evaluation questions. The evaluator is expected to look deeply into </w:t>
      </w:r>
      <w:r w:rsidR="00895CE1" w:rsidRPr="009505DF">
        <w:rPr>
          <w:rFonts w:eastAsia="Arial" w:cs="Arial"/>
          <w:sz w:val="22"/>
          <w:szCs w:val="22"/>
        </w:rPr>
        <w:t>the Programme’s</w:t>
      </w:r>
      <w:r w:rsidR="002611EC" w:rsidRPr="009505DF">
        <w:rPr>
          <w:rFonts w:eastAsia="Arial" w:cs="Arial"/>
          <w:sz w:val="22"/>
          <w:szCs w:val="22"/>
        </w:rPr>
        <w:t xml:space="preserve"> Theory of Change, LFA</w:t>
      </w:r>
      <w:r w:rsidR="00403E20" w:rsidRPr="009505DF">
        <w:rPr>
          <w:rFonts w:eastAsia="Arial" w:cs="Arial"/>
          <w:sz w:val="22"/>
          <w:szCs w:val="22"/>
        </w:rPr>
        <w:t>,</w:t>
      </w:r>
      <w:r w:rsidR="002611EC" w:rsidRPr="009505DF">
        <w:rPr>
          <w:rFonts w:eastAsia="Arial" w:cs="Arial"/>
          <w:sz w:val="22"/>
          <w:szCs w:val="22"/>
        </w:rPr>
        <w:t xml:space="preserve"> </w:t>
      </w:r>
      <w:r w:rsidR="00403E20" w:rsidRPr="009505DF">
        <w:rPr>
          <w:rFonts w:eastAsia="Arial" w:cs="Arial"/>
          <w:sz w:val="22"/>
          <w:szCs w:val="22"/>
        </w:rPr>
        <w:t xml:space="preserve">GOAL </w:t>
      </w:r>
      <w:r w:rsidR="002611EC" w:rsidRPr="009505DF">
        <w:rPr>
          <w:rFonts w:eastAsia="Arial" w:cs="Arial"/>
          <w:sz w:val="22"/>
          <w:szCs w:val="22"/>
        </w:rPr>
        <w:t xml:space="preserve">results </w:t>
      </w:r>
      <w:r w:rsidR="00403E20" w:rsidRPr="009505DF">
        <w:rPr>
          <w:rFonts w:eastAsia="Arial" w:cs="Arial"/>
          <w:sz w:val="22"/>
          <w:szCs w:val="22"/>
        </w:rPr>
        <w:t xml:space="preserve">framework and implementation plans. </w:t>
      </w:r>
      <w:r w:rsidRPr="009505DF">
        <w:rPr>
          <w:rFonts w:eastAsia="Arial" w:cs="Arial"/>
          <w:sz w:val="22"/>
          <w:szCs w:val="22"/>
        </w:rPr>
        <w:t xml:space="preserve">The evaluation questions below are organised around the </w:t>
      </w:r>
      <w:r w:rsidR="00403E20" w:rsidRPr="009505DF">
        <w:rPr>
          <w:rFonts w:eastAsia="Arial" w:cs="Arial"/>
          <w:sz w:val="22"/>
          <w:szCs w:val="22"/>
        </w:rPr>
        <w:t xml:space="preserve">major </w:t>
      </w:r>
      <w:r w:rsidRPr="009505DF">
        <w:rPr>
          <w:rFonts w:eastAsia="Arial" w:cs="Arial"/>
          <w:sz w:val="22"/>
          <w:szCs w:val="22"/>
        </w:rPr>
        <w:t>tasks</w:t>
      </w:r>
      <w:r w:rsidR="00403E20" w:rsidRPr="009505DF">
        <w:rPr>
          <w:rFonts w:eastAsia="Arial" w:cs="Arial"/>
          <w:sz w:val="22"/>
          <w:szCs w:val="22"/>
        </w:rPr>
        <w:t xml:space="preserve"> outlined above</w:t>
      </w:r>
      <w:r w:rsidRPr="009505DF">
        <w:rPr>
          <w:rFonts w:eastAsia="Arial" w:cs="Arial"/>
          <w:sz w:val="22"/>
          <w:szCs w:val="22"/>
        </w:rPr>
        <w:t>. The priority is to generate independent evidence base</w:t>
      </w:r>
    </w:p>
    <w:p w14:paraId="2864C42C" w14:textId="3885FC8E" w:rsidR="005D18D8" w:rsidRDefault="005D18D8" w:rsidP="005D18D8">
      <w:pPr>
        <w:spacing w:after="0"/>
      </w:pPr>
    </w:p>
    <w:p w14:paraId="2C0DB6CB" w14:textId="7D8D6B90" w:rsidR="00D55D2F" w:rsidRPr="00D55D2F" w:rsidRDefault="00D55D2F" w:rsidP="005D18D8">
      <w:pPr>
        <w:spacing w:after="0"/>
        <w:rPr>
          <w:b/>
          <w:bCs/>
        </w:rPr>
      </w:pPr>
      <w:r w:rsidRPr="00D55D2F">
        <w:rPr>
          <w:b/>
          <w:bCs/>
        </w:rPr>
        <w:t>Relevance</w:t>
      </w:r>
    </w:p>
    <w:p w14:paraId="3CC6963D" w14:textId="03655B5F" w:rsidR="005D18D8" w:rsidRPr="009505DF" w:rsidRDefault="005D18D8" w:rsidP="005D18D8">
      <w:pPr>
        <w:pStyle w:val="ListParagraph"/>
        <w:numPr>
          <w:ilvl w:val="0"/>
          <w:numId w:val="40"/>
        </w:numPr>
        <w:spacing w:after="0"/>
        <w:contextualSpacing w:val="0"/>
      </w:pPr>
      <w:r w:rsidRPr="009505DF">
        <w:rPr>
          <w:rFonts w:eastAsia="Arial" w:cs="Arial"/>
          <w:sz w:val="22"/>
          <w:szCs w:val="22"/>
        </w:rPr>
        <w:t xml:space="preserve">Is the TaRL-based remedial learning model </w:t>
      </w:r>
      <w:r w:rsidR="00403E20" w:rsidRPr="009505DF">
        <w:rPr>
          <w:rFonts w:eastAsia="Arial" w:cs="Arial"/>
          <w:sz w:val="22"/>
          <w:szCs w:val="22"/>
        </w:rPr>
        <w:t>relevant for Pakistani schools &amp; context.</w:t>
      </w:r>
    </w:p>
    <w:p w14:paraId="1A83268C" w14:textId="3484B2AD" w:rsidR="005D18D8" w:rsidRPr="009505DF" w:rsidRDefault="005D18D8" w:rsidP="005D18D8">
      <w:pPr>
        <w:pStyle w:val="ListParagraph"/>
        <w:numPr>
          <w:ilvl w:val="0"/>
          <w:numId w:val="39"/>
        </w:numPr>
        <w:spacing w:after="0"/>
        <w:contextualSpacing w:val="0"/>
      </w:pPr>
      <w:r w:rsidRPr="009505DF">
        <w:rPr>
          <w:rFonts w:eastAsia="Arial" w:cs="Arial"/>
          <w:sz w:val="22"/>
          <w:szCs w:val="22"/>
        </w:rPr>
        <w:t>Have the programme's RL and CLP interventions produced measurable improvements in FLN outcomes?</w:t>
      </w:r>
    </w:p>
    <w:p w14:paraId="785E10CD" w14:textId="3C7663B0" w:rsidR="005D18D8" w:rsidRPr="009505DF" w:rsidRDefault="005D18D8" w:rsidP="005D18D8">
      <w:pPr>
        <w:spacing w:after="0"/>
      </w:pPr>
      <w:r w:rsidRPr="009505DF">
        <w:rPr>
          <w:rFonts w:eastAsia="Arial" w:cs="Arial"/>
          <w:b/>
          <w:bCs/>
        </w:rPr>
        <w:t>Learning Gains (Effectiveness)</w:t>
      </w:r>
    </w:p>
    <w:p w14:paraId="4BB789B9" w14:textId="1C8F28A6" w:rsidR="005D18D8" w:rsidRPr="009505DF" w:rsidRDefault="005D18D8" w:rsidP="005D18D8">
      <w:pPr>
        <w:pStyle w:val="ListParagraph"/>
        <w:numPr>
          <w:ilvl w:val="0"/>
          <w:numId w:val="38"/>
        </w:numPr>
        <w:spacing w:after="0"/>
        <w:contextualSpacing w:val="0"/>
      </w:pPr>
      <w:r w:rsidRPr="009505DF">
        <w:rPr>
          <w:rFonts w:eastAsia="Arial" w:cs="Arial"/>
          <w:sz w:val="22"/>
          <w:szCs w:val="22"/>
        </w:rPr>
        <w:t>Based on the verified data, what measurable improvements in FLN outcomes (English, Urdu, Mathematics) are reported over the programme period, and how do these vary by gender, province, and disability status?</w:t>
      </w:r>
    </w:p>
    <w:p w14:paraId="5B2B64C8" w14:textId="04FE2661" w:rsidR="005D18D8" w:rsidRPr="009505DF" w:rsidRDefault="005D18D8" w:rsidP="005D18D8">
      <w:pPr>
        <w:pStyle w:val="ListParagraph"/>
        <w:numPr>
          <w:ilvl w:val="0"/>
          <w:numId w:val="38"/>
        </w:numPr>
        <w:spacing w:after="0"/>
        <w:contextualSpacing w:val="0"/>
      </w:pPr>
      <w:r w:rsidRPr="009505DF">
        <w:rPr>
          <w:rFonts w:eastAsia="Arial" w:cs="Arial"/>
          <w:sz w:val="22"/>
          <w:szCs w:val="22"/>
        </w:rPr>
        <w:t>Are the reported learning gains consistent with the programme’s baseline–endline design, and what caveats apply to their interpretation given data limitations?</w:t>
      </w:r>
    </w:p>
    <w:p w14:paraId="2AC6400C" w14:textId="72DEAA31" w:rsidR="005D18D8" w:rsidRPr="009505DF" w:rsidRDefault="005D18D8" w:rsidP="005D18D8">
      <w:pPr>
        <w:spacing w:after="0"/>
      </w:pPr>
      <w:r w:rsidRPr="009505DF">
        <w:rPr>
          <w:rFonts w:eastAsia="Arial" w:cs="Arial"/>
          <w:b/>
          <w:bCs/>
        </w:rPr>
        <w:t xml:space="preserve">Cost and Efficiency </w:t>
      </w:r>
    </w:p>
    <w:p w14:paraId="1293DBB6" w14:textId="254CA351" w:rsidR="009109BD" w:rsidRPr="009505DF" w:rsidRDefault="005D18D8" w:rsidP="009109BD">
      <w:pPr>
        <w:pStyle w:val="ListParagraph"/>
        <w:numPr>
          <w:ilvl w:val="0"/>
          <w:numId w:val="31"/>
        </w:numPr>
        <w:spacing w:after="0"/>
      </w:pPr>
      <w:r w:rsidRPr="009505DF">
        <w:rPr>
          <w:rFonts w:eastAsia="Arial" w:cs="Arial"/>
          <w:sz w:val="22"/>
          <w:szCs w:val="22"/>
        </w:rPr>
        <w:t>What is the estimated cost per learner and per unit of learning gain, drawing on available programme expenditure data?</w:t>
      </w:r>
    </w:p>
    <w:p w14:paraId="6174FA5B" w14:textId="77777777" w:rsidR="009505DF" w:rsidRPr="009505DF" w:rsidRDefault="009505DF" w:rsidP="009109BD">
      <w:pPr>
        <w:spacing w:after="0"/>
        <w:rPr>
          <w:rFonts w:eastAsia="Arial" w:cs="Arial"/>
          <w:sz w:val="22"/>
          <w:szCs w:val="22"/>
        </w:rPr>
      </w:pPr>
    </w:p>
    <w:p w14:paraId="4D60964E" w14:textId="6353CE7B" w:rsidR="005D18D8" w:rsidRPr="009505DF" w:rsidRDefault="009505DF" w:rsidP="009109BD">
      <w:pPr>
        <w:spacing w:after="0"/>
      </w:pPr>
      <w:r w:rsidRPr="009505DF">
        <w:rPr>
          <w:rFonts w:eastAsia="Arial" w:cs="Arial"/>
          <w:sz w:val="22"/>
          <w:szCs w:val="22"/>
        </w:rPr>
        <w:t>T</w:t>
      </w:r>
      <w:r w:rsidR="005D18D8" w:rsidRPr="009505DF">
        <w:rPr>
          <w:rFonts w:eastAsia="Arial" w:cs="Arial"/>
          <w:sz w:val="22"/>
          <w:szCs w:val="22"/>
        </w:rPr>
        <w:t>he evaluator will provide a transparent, descriptive analysis of learning</w:t>
      </w:r>
      <w:r w:rsidR="00D55D2F">
        <w:rPr>
          <w:rFonts w:eastAsia="Arial" w:cs="Arial"/>
          <w:sz w:val="22"/>
          <w:szCs w:val="22"/>
        </w:rPr>
        <w:t xml:space="preserve"> </w:t>
      </w:r>
      <w:r w:rsidR="005D18D8" w:rsidRPr="009505DF">
        <w:rPr>
          <w:rFonts w:eastAsia="Arial" w:cs="Arial"/>
          <w:sz w:val="22"/>
          <w:szCs w:val="22"/>
        </w:rPr>
        <w:t>drawing on independently verified data. A proportionate VfM analysis will be undertaken drawing on programme financials and existing VfM material</w:t>
      </w:r>
      <w:r w:rsidRPr="009505DF">
        <w:rPr>
          <w:rFonts w:eastAsia="Arial" w:cs="Arial"/>
          <w:sz w:val="22"/>
          <w:szCs w:val="22"/>
        </w:rPr>
        <w:t>.</w:t>
      </w:r>
      <w:r w:rsidR="005D18D8" w:rsidRPr="009505DF">
        <w:rPr>
          <w:rFonts w:eastAsia="Arial" w:cs="Arial"/>
          <w:sz w:val="22"/>
          <w:szCs w:val="22"/>
        </w:rPr>
        <w:t xml:space="preserve"> </w:t>
      </w:r>
    </w:p>
    <w:p w14:paraId="0D73093A" w14:textId="77777777" w:rsidR="009109BD" w:rsidRPr="009505DF" w:rsidRDefault="009109BD" w:rsidP="005D18D8">
      <w:pPr>
        <w:spacing w:after="0"/>
        <w:rPr>
          <w:rFonts w:eastAsia="Arial" w:cs="Arial"/>
          <w:b/>
          <w:bCs/>
        </w:rPr>
      </w:pPr>
    </w:p>
    <w:p w14:paraId="3C093B6E" w14:textId="212526D8" w:rsidR="005D18D8" w:rsidRPr="009505DF" w:rsidRDefault="005D18D8" w:rsidP="005D18D8">
      <w:pPr>
        <w:pStyle w:val="HeadingC"/>
        <w:numPr>
          <w:ilvl w:val="1"/>
          <w:numId w:val="24"/>
        </w:numPr>
        <w:spacing w:before="0" w:after="0"/>
        <w:rPr>
          <w:color w:val="auto"/>
        </w:rPr>
      </w:pPr>
      <w:r w:rsidRPr="009505DF">
        <w:rPr>
          <w:color w:val="auto"/>
        </w:rPr>
        <w:t>Methodology</w:t>
      </w:r>
      <w:r w:rsidR="00D55D2F">
        <w:rPr>
          <w:color w:val="auto"/>
        </w:rPr>
        <w:t xml:space="preserve"> </w:t>
      </w:r>
    </w:p>
    <w:p w14:paraId="6E94207D" w14:textId="77777777" w:rsidR="009505DF" w:rsidRPr="009505DF" w:rsidRDefault="009505DF" w:rsidP="005D18D8">
      <w:pPr>
        <w:spacing w:after="0"/>
        <w:rPr>
          <w:rFonts w:eastAsia="Arial" w:cs="Arial"/>
          <w:sz w:val="22"/>
          <w:szCs w:val="22"/>
        </w:rPr>
      </w:pPr>
    </w:p>
    <w:p w14:paraId="2CBA9214" w14:textId="25D73186" w:rsidR="009505DF" w:rsidRDefault="005D18D8" w:rsidP="005D18D8">
      <w:pPr>
        <w:spacing w:after="0"/>
        <w:rPr>
          <w:rFonts w:eastAsia="Arial" w:cs="Arial"/>
          <w:sz w:val="22"/>
          <w:szCs w:val="22"/>
        </w:rPr>
      </w:pPr>
      <w:r w:rsidRPr="009505DF">
        <w:rPr>
          <w:rFonts w:eastAsia="Arial" w:cs="Arial"/>
          <w:sz w:val="22"/>
          <w:szCs w:val="22"/>
        </w:rPr>
        <w:t>The evaluation will use a mixed-methods design</w:t>
      </w:r>
      <w:r w:rsidR="009505DF">
        <w:rPr>
          <w:rFonts w:eastAsia="Arial" w:cs="Arial"/>
          <w:sz w:val="22"/>
          <w:szCs w:val="22"/>
        </w:rPr>
        <w:t xml:space="preserve"> approach</w:t>
      </w:r>
      <w:r w:rsidRPr="009505DF">
        <w:rPr>
          <w:rFonts w:eastAsia="Arial" w:cs="Arial"/>
          <w:sz w:val="22"/>
          <w:szCs w:val="22"/>
        </w:rPr>
        <w:t xml:space="preserve">. </w:t>
      </w:r>
      <w:r w:rsidR="009505DF" w:rsidRPr="009505DF">
        <w:rPr>
          <w:rFonts w:eastAsia="Arial" w:cs="Arial"/>
          <w:sz w:val="22"/>
          <w:szCs w:val="22"/>
        </w:rPr>
        <w:t>T</w:t>
      </w:r>
      <w:r w:rsidRPr="009505DF">
        <w:rPr>
          <w:rFonts w:eastAsia="Arial" w:cs="Arial"/>
          <w:sz w:val="22"/>
          <w:szCs w:val="22"/>
        </w:rPr>
        <w:t>he quantitative component will focus on independently verifying data quality and undertaking a descriptive analysis of learning gains.</w:t>
      </w:r>
      <w:r w:rsidR="009505DF">
        <w:rPr>
          <w:rFonts w:eastAsia="Arial" w:cs="Arial"/>
          <w:sz w:val="22"/>
          <w:szCs w:val="22"/>
        </w:rPr>
        <w:t xml:space="preserve"> </w:t>
      </w:r>
      <w:r w:rsidR="00D55D2F">
        <w:rPr>
          <w:rFonts w:eastAsia="Arial" w:cs="Arial"/>
          <w:sz w:val="22"/>
          <w:szCs w:val="22"/>
        </w:rPr>
        <w:t xml:space="preserve">Through qualitative analysis, feedback, interviews and FGDs, the evaluation team will answer key evaluation questions around relevance, efficiency, sustainability and value for money. </w:t>
      </w:r>
    </w:p>
    <w:p w14:paraId="0FD46816" w14:textId="77777777" w:rsidR="009505DF" w:rsidRDefault="009505DF" w:rsidP="005D18D8">
      <w:pPr>
        <w:spacing w:after="0"/>
        <w:rPr>
          <w:rFonts w:eastAsia="Arial" w:cs="Arial"/>
          <w:sz w:val="22"/>
          <w:szCs w:val="22"/>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00"/>
        <w:gridCol w:w="4146"/>
      </w:tblGrid>
      <w:tr w:rsidR="009505DF" w:rsidRPr="009505DF" w14:paraId="76B03B73" w14:textId="77777777" w:rsidTr="00E941FD">
        <w:tc>
          <w:tcPr>
            <w:tcW w:w="2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40" w:type="dxa"/>
              <w:bottom w:w="80" w:type="dxa"/>
              <w:right w:w="140" w:type="dxa"/>
            </w:tcMar>
          </w:tcPr>
          <w:p w14:paraId="154EC21A" w14:textId="77777777" w:rsidR="005D18D8" w:rsidRPr="009505DF" w:rsidRDefault="005D18D8" w:rsidP="005D18D8">
            <w:pPr>
              <w:spacing w:after="0"/>
            </w:pPr>
            <w:r w:rsidRPr="009505DF">
              <w:rPr>
                <w:rFonts w:eastAsia="Arial" w:cs="Arial"/>
                <w:b/>
                <w:bCs/>
              </w:rPr>
              <w:t>Method</w:t>
            </w:r>
          </w:p>
        </w:tc>
        <w:tc>
          <w:tcPr>
            <w:tcW w:w="34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40" w:type="dxa"/>
              <w:bottom w:w="80" w:type="dxa"/>
              <w:right w:w="140" w:type="dxa"/>
            </w:tcMar>
          </w:tcPr>
          <w:p w14:paraId="097910AD" w14:textId="77777777" w:rsidR="005D18D8" w:rsidRPr="009505DF" w:rsidRDefault="005D18D8" w:rsidP="005D18D8">
            <w:pPr>
              <w:spacing w:after="0"/>
            </w:pPr>
            <w:r w:rsidRPr="009505DF">
              <w:rPr>
                <w:rFonts w:eastAsia="Arial" w:cs="Arial"/>
                <w:b/>
                <w:bCs/>
              </w:rPr>
              <w:t>Source / Sample</w:t>
            </w:r>
          </w:p>
        </w:tc>
        <w:tc>
          <w:tcPr>
            <w:tcW w:w="414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40" w:type="dxa"/>
              <w:bottom w:w="80" w:type="dxa"/>
              <w:right w:w="140" w:type="dxa"/>
            </w:tcMar>
          </w:tcPr>
          <w:p w14:paraId="04817D4A" w14:textId="77777777" w:rsidR="005D18D8" w:rsidRPr="009505DF" w:rsidRDefault="005D18D8" w:rsidP="005D18D8">
            <w:pPr>
              <w:spacing w:after="0"/>
            </w:pPr>
            <w:r w:rsidRPr="009505DF">
              <w:rPr>
                <w:rFonts w:eastAsia="Arial" w:cs="Arial"/>
                <w:b/>
                <w:bCs/>
              </w:rPr>
              <w:t>Purpose</w:t>
            </w:r>
          </w:p>
        </w:tc>
      </w:tr>
      <w:tr w:rsidR="009505DF" w:rsidRPr="009505DF" w14:paraId="4CBFF071" w14:textId="77777777" w:rsidTr="00E941FD">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1E59420" w14:textId="01D4E1A2" w:rsidR="005D18D8" w:rsidRPr="009505DF" w:rsidRDefault="00C030D1" w:rsidP="005D18D8">
            <w:pPr>
              <w:spacing w:after="0"/>
            </w:pPr>
            <w:r>
              <w:t xml:space="preserve">Data </w:t>
            </w:r>
            <w:r w:rsidR="005D18D8" w:rsidRPr="009505DF">
              <w:t>quality verification + descriptive analysis of learning gains</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F707873" w14:textId="2F883F0A" w:rsidR="005D18D8" w:rsidRPr="009505DF" w:rsidRDefault="005D18D8" w:rsidP="005D18D8">
            <w:pPr>
              <w:spacing w:after="0"/>
            </w:pPr>
            <w:r w:rsidRPr="009505DF">
              <w:t>Programme assessment datasets (baseline and endline) provided by ILMpact</w:t>
            </w:r>
            <w:r w:rsidR="00C030D1">
              <w:t>.</w:t>
            </w:r>
            <w:r w:rsidRPr="009505DF">
              <w:t xml:space="preserve"> </w:t>
            </w:r>
          </w:p>
        </w:tc>
        <w:tc>
          <w:tcPr>
            <w:tcW w:w="41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8C9B209" w14:textId="18E74192" w:rsidR="005D18D8" w:rsidRPr="009505DF" w:rsidRDefault="005D18D8" w:rsidP="005D18D8">
            <w:pPr>
              <w:spacing w:after="0"/>
            </w:pPr>
            <w:r w:rsidRPr="009505DF">
              <w:t>Independently verify data quality (sampling, attrition, comparability); provide descriptive analysis of learning gains by grade, gender, and disability. Findings to be presented as indicative, not causal.</w:t>
            </w:r>
          </w:p>
        </w:tc>
      </w:tr>
      <w:tr w:rsidR="009505DF" w:rsidRPr="009505DF" w14:paraId="7A8A03A0" w14:textId="77777777" w:rsidTr="00E941FD">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7A77EB79" w14:textId="77777777" w:rsidR="005D18D8" w:rsidRPr="009505DF" w:rsidRDefault="005D18D8" w:rsidP="005D18D8">
            <w:pPr>
              <w:spacing w:after="0"/>
            </w:pPr>
            <w:r w:rsidRPr="009505DF">
              <w:rPr>
                <w:rFonts w:eastAsia="Arial" w:cs="Arial"/>
              </w:rPr>
              <w:t>Key informant interviews (KIIs)</w:t>
            </w:r>
          </w:p>
        </w:tc>
        <w:tc>
          <w:tcPr>
            <w:tcW w:w="34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65918BA6" w14:textId="77777777" w:rsidR="005D18D8" w:rsidRPr="009505DF" w:rsidRDefault="005D18D8" w:rsidP="005D18D8">
            <w:pPr>
              <w:spacing w:after="0"/>
            </w:pPr>
            <w:r w:rsidRPr="009505DF">
              <w:rPr>
                <w:rFonts w:eastAsia="Arial" w:cs="Arial"/>
              </w:rPr>
              <w:t xml:space="preserve">FCDO, ILMpact management, provincial </w:t>
            </w:r>
            <w:r w:rsidRPr="009505DF">
              <w:rPr>
                <w:rFonts w:eastAsia="Arial" w:cs="Arial"/>
              </w:rPr>
              <w:lastRenderedPageBreak/>
              <w:t>education depts (CEOs/DEOs), master trainers, Lead trainers (~20-30 interviews) in KP and Punjab</w:t>
            </w:r>
          </w:p>
        </w:tc>
        <w:tc>
          <w:tcPr>
            <w:tcW w:w="4146"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1BA7418A" w14:textId="61037D71" w:rsidR="005D18D8" w:rsidRPr="009505DF" w:rsidRDefault="005D18D8" w:rsidP="005D18D8">
            <w:pPr>
              <w:spacing w:after="0"/>
            </w:pPr>
            <w:r w:rsidRPr="009505DF">
              <w:lastRenderedPageBreak/>
              <w:t xml:space="preserve">Effectiveness and cost efficiency </w:t>
            </w:r>
          </w:p>
        </w:tc>
      </w:tr>
      <w:tr w:rsidR="009505DF" w:rsidRPr="009505DF" w14:paraId="1C4CB7AC" w14:textId="77777777" w:rsidTr="00E941FD">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BBA0FAE" w14:textId="77777777" w:rsidR="005D18D8" w:rsidRPr="009505DF" w:rsidRDefault="005D18D8" w:rsidP="005D18D8">
            <w:pPr>
              <w:spacing w:after="0"/>
            </w:pPr>
            <w:r w:rsidRPr="009505DF">
              <w:rPr>
                <w:rFonts w:eastAsia="Arial" w:cs="Arial"/>
              </w:rPr>
              <w:t>Focus group discussions (FGDs)</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BF8581B" w14:textId="77777777" w:rsidR="005D18D8" w:rsidRPr="009505DF" w:rsidRDefault="005D18D8" w:rsidP="005D18D8">
            <w:pPr>
              <w:spacing w:after="0"/>
            </w:pPr>
            <w:r w:rsidRPr="009505DF">
              <w:rPr>
                <w:rFonts w:eastAsia="Arial" w:cs="Arial"/>
              </w:rPr>
              <w:t>Teachers, school management committees, parents, and learners (8–10 FGDs across both provinces)</w:t>
            </w:r>
          </w:p>
        </w:tc>
        <w:tc>
          <w:tcPr>
            <w:tcW w:w="41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158F21B" w14:textId="5DF03FD3" w:rsidR="005D18D8" w:rsidRPr="009505DF" w:rsidRDefault="005D18D8" w:rsidP="005D18D8">
            <w:pPr>
              <w:spacing w:after="0"/>
            </w:pPr>
            <w:r w:rsidRPr="009505DF">
              <w:t>Effectiveness and equity dimensions (learning gains by gender, disability)</w:t>
            </w:r>
          </w:p>
        </w:tc>
      </w:tr>
      <w:tr w:rsidR="009505DF" w:rsidRPr="009505DF" w14:paraId="31486925" w14:textId="77777777" w:rsidTr="00E941FD">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462F0E5C" w14:textId="77777777" w:rsidR="005D18D8" w:rsidRPr="009505DF" w:rsidRDefault="005D18D8" w:rsidP="005D18D8">
            <w:pPr>
              <w:spacing w:after="0"/>
            </w:pPr>
            <w:r w:rsidRPr="009505DF">
              <w:rPr>
                <w:rFonts w:eastAsia="Arial" w:cs="Arial"/>
              </w:rPr>
              <w:t>Document review</w:t>
            </w:r>
          </w:p>
        </w:tc>
        <w:tc>
          <w:tcPr>
            <w:tcW w:w="34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1646C733" w14:textId="67EE86A8" w:rsidR="005D18D8" w:rsidRPr="009505DF" w:rsidRDefault="005D18D8" w:rsidP="005D18D8">
            <w:pPr>
              <w:spacing w:after="0"/>
            </w:pPr>
            <w:r w:rsidRPr="009505DF">
              <w:rPr>
                <w:rFonts w:eastAsia="Arial" w:cs="Arial"/>
              </w:rPr>
              <w:t xml:space="preserve">Programme reports, MEL data, training records, </w:t>
            </w:r>
            <w:r w:rsidR="00895CE1">
              <w:rPr>
                <w:rFonts w:eastAsia="Arial" w:cs="Arial"/>
              </w:rPr>
              <w:t>learning data review, dashboard review, financial data review for Vfm analysis</w:t>
            </w:r>
            <w:r w:rsidR="0077113F">
              <w:rPr>
                <w:rFonts w:eastAsia="Arial" w:cs="Arial"/>
              </w:rPr>
              <w:t>, After Action Review Reports and Beneficiary Surveys</w:t>
            </w:r>
          </w:p>
        </w:tc>
        <w:tc>
          <w:tcPr>
            <w:tcW w:w="4146"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3454B8F5" w14:textId="1DDA1D35" w:rsidR="005D18D8" w:rsidRPr="009505DF" w:rsidRDefault="00895CE1" w:rsidP="005D18D8">
            <w:pPr>
              <w:spacing w:after="0"/>
            </w:pPr>
            <w:r>
              <w:t xml:space="preserve">Learning Impact gains, </w:t>
            </w:r>
            <w:r w:rsidR="005D18D8" w:rsidRPr="009505DF">
              <w:t xml:space="preserve">VfM </w:t>
            </w:r>
            <w:r>
              <w:t xml:space="preserve">analysis. </w:t>
            </w:r>
            <w:r w:rsidR="0077113F">
              <w:t>Synthesis of secondary data collected by third party MEL firm</w:t>
            </w:r>
          </w:p>
        </w:tc>
      </w:tr>
      <w:tr w:rsidR="009505DF" w:rsidRPr="009505DF" w14:paraId="60242C84" w14:textId="77777777" w:rsidTr="00E941FD">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41F677A0" w14:textId="77777777" w:rsidR="005D18D8" w:rsidRPr="009505DF" w:rsidRDefault="005D18D8" w:rsidP="005D18D8">
            <w:pPr>
              <w:spacing w:after="0"/>
              <w:rPr>
                <w:rFonts w:eastAsia="Arial" w:cs="Arial"/>
              </w:rPr>
            </w:pPr>
            <w:r w:rsidRPr="009505DF">
              <w:rPr>
                <w:rFonts w:eastAsia="Arial" w:cs="Arial"/>
              </w:rPr>
              <w:t>Report Preparation and Presentation</w:t>
            </w:r>
          </w:p>
        </w:tc>
        <w:tc>
          <w:tcPr>
            <w:tcW w:w="34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2757FE08" w14:textId="77777777" w:rsidR="005D18D8" w:rsidRPr="009505DF" w:rsidRDefault="005D18D8" w:rsidP="005D18D8">
            <w:pPr>
              <w:spacing w:after="0"/>
              <w:rPr>
                <w:rFonts w:eastAsia="Arial" w:cs="Arial"/>
              </w:rPr>
            </w:pPr>
            <w:r w:rsidRPr="009505DF">
              <w:rPr>
                <w:rFonts w:eastAsia="Arial" w:cs="Arial"/>
              </w:rPr>
              <w:t>Presentation to British Council (ILMpact) and FCDO</w:t>
            </w:r>
          </w:p>
        </w:tc>
        <w:tc>
          <w:tcPr>
            <w:tcW w:w="4146"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75B948A1" w14:textId="77777777" w:rsidR="005D18D8" w:rsidRPr="009505DF" w:rsidRDefault="005D18D8" w:rsidP="005D18D8">
            <w:pPr>
              <w:spacing w:after="0"/>
              <w:rPr>
                <w:rFonts w:eastAsia="Arial" w:cs="Arial"/>
              </w:rPr>
            </w:pPr>
            <w:r w:rsidRPr="009505DF">
              <w:rPr>
                <w:rFonts w:eastAsia="Arial" w:cs="Arial"/>
              </w:rPr>
              <w:t>Feedback incorporation</w:t>
            </w:r>
          </w:p>
        </w:tc>
      </w:tr>
    </w:tbl>
    <w:p w14:paraId="66CCB0AC" w14:textId="77777777" w:rsidR="005D18D8" w:rsidRPr="009505DF" w:rsidRDefault="005D18D8" w:rsidP="005D18D8">
      <w:pPr>
        <w:spacing w:after="0"/>
      </w:pPr>
    </w:p>
    <w:p w14:paraId="55A2A5D4" w14:textId="77777777" w:rsidR="005D18D8" w:rsidRPr="009505DF" w:rsidRDefault="005D18D8" w:rsidP="005D18D8">
      <w:pPr>
        <w:spacing w:after="0"/>
      </w:pPr>
    </w:p>
    <w:p w14:paraId="5BC08CB5" w14:textId="77777777" w:rsidR="005D18D8" w:rsidRPr="009505DF" w:rsidRDefault="005D18D8" w:rsidP="005D18D8">
      <w:pPr>
        <w:pStyle w:val="HeadingC"/>
        <w:numPr>
          <w:ilvl w:val="1"/>
          <w:numId w:val="24"/>
        </w:numPr>
        <w:spacing w:before="0" w:after="0"/>
        <w:rPr>
          <w:color w:val="auto"/>
        </w:rPr>
      </w:pPr>
      <w:r w:rsidRPr="009505DF">
        <w:rPr>
          <w:color w:val="auto"/>
        </w:rPr>
        <w:t>Deliverables</w:t>
      </w:r>
    </w:p>
    <w:p w14:paraId="04E2DBAB" w14:textId="15B495F7" w:rsidR="005D18D8" w:rsidRPr="00C030D1" w:rsidRDefault="005D18D8" w:rsidP="005D18D8">
      <w:pPr>
        <w:pStyle w:val="ListParagraph"/>
        <w:numPr>
          <w:ilvl w:val="0"/>
          <w:numId w:val="34"/>
        </w:numPr>
        <w:spacing w:after="0"/>
        <w:contextualSpacing w:val="0"/>
      </w:pPr>
      <w:r w:rsidRPr="00C030D1">
        <w:t xml:space="preserve">Inception report </w:t>
      </w:r>
      <w:r w:rsidR="00895CE1" w:rsidRPr="00C030D1">
        <w:t>including</w:t>
      </w:r>
      <w:r w:rsidRPr="00C030D1">
        <w:t xml:space="preserve"> finalised methodology and workplan; a data strategy </w:t>
      </w:r>
      <w:r w:rsidR="00895CE1" w:rsidRPr="00C030D1">
        <w:t>notes</w:t>
      </w:r>
      <w:r w:rsidRPr="00C030D1">
        <w:t xml:space="preserve"> specifying which dataset</w:t>
      </w:r>
      <w:r w:rsidR="00C030D1" w:rsidRPr="00C030D1">
        <w:t xml:space="preserve"> parameters (</w:t>
      </w:r>
      <w:r w:rsidRPr="00C030D1">
        <w:t>baseline–endline comparability, and how sampling, attrition, and potential sources of bias will be addressed.</w:t>
      </w:r>
    </w:p>
    <w:p w14:paraId="5C4EFA5C" w14:textId="77777777" w:rsidR="005D18D8" w:rsidRPr="00C030D1" w:rsidRDefault="005D18D8" w:rsidP="005D18D8">
      <w:pPr>
        <w:pStyle w:val="ListParagraph"/>
        <w:numPr>
          <w:ilvl w:val="0"/>
          <w:numId w:val="34"/>
        </w:numPr>
        <w:spacing w:after="0"/>
        <w:contextualSpacing w:val="0"/>
      </w:pPr>
      <w:r w:rsidRPr="00C030D1">
        <w:rPr>
          <w:rFonts w:eastAsia="Arial" w:cs="Arial"/>
        </w:rPr>
        <w:t>Draft evaluation report for stakeholder review.</w:t>
      </w:r>
    </w:p>
    <w:p w14:paraId="5CE787FE" w14:textId="4B939DFF" w:rsidR="005D18D8" w:rsidRPr="00C030D1" w:rsidRDefault="005D18D8" w:rsidP="005D18D8">
      <w:pPr>
        <w:pStyle w:val="ListParagraph"/>
        <w:numPr>
          <w:ilvl w:val="0"/>
          <w:numId w:val="34"/>
        </w:numPr>
        <w:spacing w:after="0"/>
        <w:contextualSpacing w:val="0"/>
      </w:pPr>
      <w:r w:rsidRPr="00C030D1">
        <w:t>Final evaluation report (max forty pages, excluding annexes) covering the three evaluation tasks with findings, conclusions, and actionable recommendations. Findings on learning gains must clearly state the indicative (not causal) nature of the analysis and any caveats relating to data quality.</w:t>
      </w:r>
    </w:p>
    <w:p w14:paraId="3958FCAE" w14:textId="77777777" w:rsidR="005D18D8" w:rsidRPr="009505DF" w:rsidRDefault="005D18D8" w:rsidP="005D18D8">
      <w:pPr>
        <w:pStyle w:val="ListParagraph"/>
        <w:numPr>
          <w:ilvl w:val="0"/>
          <w:numId w:val="34"/>
        </w:numPr>
        <w:spacing w:after="0"/>
        <w:contextualSpacing w:val="0"/>
      </w:pPr>
      <w:r w:rsidRPr="00C030D1">
        <w:rPr>
          <w:rFonts w:eastAsia="Arial" w:cs="Arial"/>
        </w:rPr>
        <w:t>Slide deck and facilitation of a validation/dissemination workshop with key stakeholders</w:t>
      </w:r>
      <w:r w:rsidRPr="009505DF">
        <w:rPr>
          <w:rFonts w:eastAsia="Arial" w:cs="Arial"/>
          <w:sz w:val="22"/>
          <w:szCs w:val="22"/>
        </w:rPr>
        <w:t>.</w:t>
      </w:r>
    </w:p>
    <w:p w14:paraId="25E27E26" w14:textId="77777777" w:rsidR="005D18D8" w:rsidRPr="009505DF" w:rsidRDefault="005D18D8" w:rsidP="005D18D8">
      <w:pPr>
        <w:spacing w:after="0"/>
        <w:rPr>
          <w:rFonts w:cs="Arial"/>
          <w:i/>
        </w:rPr>
      </w:pPr>
    </w:p>
    <w:p w14:paraId="7D0E3099" w14:textId="77777777" w:rsidR="005D18D8" w:rsidRPr="009505DF" w:rsidRDefault="00042DF4" w:rsidP="005D18D8">
      <w:pPr>
        <w:pStyle w:val="HeadingC"/>
        <w:numPr>
          <w:ilvl w:val="1"/>
          <w:numId w:val="24"/>
        </w:numPr>
        <w:spacing w:before="0" w:after="0"/>
        <w:rPr>
          <w:color w:val="auto"/>
        </w:rPr>
      </w:pPr>
      <w:r w:rsidRPr="009505DF">
        <w:rPr>
          <w:color w:val="auto"/>
        </w:rPr>
        <w:t>Timeline (June-July 2026)</w:t>
      </w:r>
    </w:p>
    <w:p w14:paraId="246B51A6" w14:textId="77777777" w:rsidR="009109BD" w:rsidRPr="009505DF" w:rsidRDefault="009109BD" w:rsidP="009109BD">
      <w:pPr>
        <w:pStyle w:val="HeadingC"/>
        <w:spacing w:before="0" w:after="0"/>
        <w:ind w:left="720"/>
        <w:rPr>
          <w:color w:val="auto"/>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200"/>
        <w:gridCol w:w="6146"/>
      </w:tblGrid>
      <w:tr w:rsidR="009505DF" w:rsidRPr="009505DF" w14:paraId="55DBC538" w14:textId="77777777" w:rsidTr="00E941FD">
        <w:tc>
          <w:tcPr>
            <w:tcW w:w="14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40" w:type="dxa"/>
              <w:bottom w:w="80" w:type="dxa"/>
              <w:right w:w="140" w:type="dxa"/>
            </w:tcMar>
          </w:tcPr>
          <w:p w14:paraId="44280EB8" w14:textId="77777777" w:rsidR="005D18D8" w:rsidRPr="009505DF" w:rsidRDefault="005D18D8" w:rsidP="005D18D8">
            <w:pPr>
              <w:spacing w:after="0"/>
            </w:pPr>
            <w:r w:rsidRPr="009505DF">
              <w:rPr>
                <w:rFonts w:eastAsia="Arial" w:cs="Arial"/>
                <w:b/>
                <w:bCs/>
              </w:rPr>
              <w:t>Days</w:t>
            </w:r>
          </w:p>
        </w:tc>
        <w:tc>
          <w:tcPr>
            <w:tcW w:w="2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40" w:type="dxa"/>
              <w:bottom w:w="80" w:type="dxa"/>
              <w:right w:w="140" w:type="dxa"/>
            </w:tcMar>
          </w:tcPr>
          <w:p w14:paraId="4FC97246" w14:textId="77777777" w:rsidR="005D18D8" w:rsidRPr="009505DF" w:rsidRDefault="005D18D8" w:rsidP="005D18D8">
            <w:pPr>
              <w:spacing w:after="0"/>
            </w:pPr>
            <w:r w:rsidRPr="009505DF">
              <w:rPr>
                <w:rFonts w:eastAsia="Arial" w:cs="Arial"/>
                <w:b/>
                <w:bCs/>
              </w:rPr>
              <w:t>Phase</w:t>
            </w:r>
          </w:p>
        </w:tc>
        <w:tc>
          <w:tcPr>
            <w:tcW w:w="614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40" w:type="dxa"/>
              <w:bottom w:w="80" w:type="dxa"/>
              <w:right w:w="140" w:type="dxa"/>
            </w:tcMar>
          </w:tcPr>
          <w:p w14:paraId="7E31C191" w14:textId="77777777" w:rsidR="005D18D8" w:rsidRPr="009505DF" w:rsidRDefault="005D18D8" w:rsidP="005D18D8">
            <w:pPr>
              <w:spacing w:after="0"/>
            </w:pPr>
            <w:r w:rsidRPr="009505DF">
              <w:rPr>
                <w:rFonts w:eastAsia="Arial" w:cs="Arial"/>
                <w:b/>
                <w:bCs/>
              </w:rPr>
              <w:t>Key Activities</w:t>
            </w:r>
          </w:p>
        </w:tc>
      </w:tr>
      <w:tr w:rsidR="009505DF" w:rsidRPr="009505DF" w14:paraId="4577F9A8" w14:textId="77777777" w:rsidTr="00E941FD">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B29E4C3" w14:textId="77777777" w:rsidR="005D18D8" w:rsidRPr="009505DF" w:rsidRDefault="005D18D8" w:rsidP="005D18D8">
            <w:pPr>
              <w:spacing w:after="0"/>
            </w:pPr>
            <w:r w:rsidRPr="009505DF">
              <w:rPr>
                <w:rFonts w:eastAsia="Arial" w:cs="Arial"/>
              </w:rPr>
              <w:t>One week</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139EA80" w14:textId="77777777" w:rsidR="005D18D8" w:rsidRPr="009505DF" w:rsidRDefault="005D18D8" w:rsidP="005D18D8">
            <w:pPr>
              <w:spacing w:after="0"/>
            </w:pPr>
            <w:r w:rsidRPr="009505DF">
              <w:rPr>
                <w:rFonts w:eastAsia="Arial" w:cs="Arial"/>
              </w:rPr>
              <w:t>Inception</w:t>
            </w:r>
          </w:p>
        </w:tc>
        <w:tc>
          <w:tcPr>
            <w:tcW w:w="61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5E60C6F" w14:textId="77777777" w:rsidR="005D18D8" w:rsidRPr="009505DF" w:rsidRDefault="005D18D8" w:rsidP="005D18D8">
            <w:pPr>
              <w:spacing w:after="0"/>
            </w:pPr>
            <w:r w:rsidRPr="009505DF">
              <w:rPr>
                <w:rFonts w:eastAsia="Arial" w:cs="Arial"/>
              </w:rPr>
              <w:t>Document review, methodology finalisation, data access, stakeholder mapping, inception report</w:t>
            </w:r>
          </w:p>
        </w:tc>
      </w:tr>
      <w:tr w:rsidR="009505DF" w:rsidRPr="009505DF" w14:paraId="2C3CBCEF" w14:textId="77777777" w:rsidTr="00E941FD">
        <w:tc>
          <w:tcPr>
            <w:tcW w:w="14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26B17B1F" w14:textId="77777777" w:rsidR="005D18D8" w:rsidRPr="009505DF" w:rsidRDefault="00884F13" w:rsidP="005D18D8">
            <w:pPr>
              <w:spacing w:after="0"/>
            </w:pPr>
            <w:r w:rsidRPr="009505DF">
              <w:rPr>
                <w:rFonts w:eastAsia="Arial" w:cs="Arial"/>
              </w:rPr>
              <w:lastRenderedPageBreak/>
              <w:t>Second-Third Week</w:t>
            </w:r>
          </w:p>
        </w:tc>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01CD2CFB" w14:textId="77777777" w:rsidR="005D18D8" w:rsidRPr="009505DF" w:rsidRDefault="005D18D8" w:rsidP="005D18D8">
            <w:pPr>
              <w:spacing w:after="0"/>
            </w:pPr>
            <w:r w:rsidRPr="009505DF">
              <w:rPr>
                <w:rFonts w:eastAsia="Arial" w:cs="Arial"/>
              </w:rPr>
              <w:t>Field data collection</w:t>
            </w:r>
          </w:p>
        </w:tc>
        <w:tc>
          <w:tcPr>
            <w:tcW w:w="6146"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37434F0F" w14:textId="77777777" w:rsidR="005D18D8" w:rsidRPr="009505DF" w:rsidRDefault="005D18D8" w:rsidP="005D18D8">
            <w:pPr>
              <w:spacing w:after="0"/>
            </w:pPr>
            <w:r w:rsidRPr="009505DF">
              <w:rPr>
                <w:rFonts w:eastAsia="Arial" w:cs="Arial"/>
              </w:rPr>
              <w:t>KIIs and FGDs across Punjab and KP; site visits to sample schools and CLP sites</w:t>
            </w:r>
          </w:p>
        </w:tc>
      </w:tr>
      <w:tr w:rsidR="009505DF" w:rsidRPr="009505DF" w14:paraId="782094B7" w14:textId="77777777" w:rsidTr="00E941FD">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128D612" w14:textId="77777777" w:rsidR="005D18D8" w:rsidRPr="009505DF" w:rsidRDefault="00884F13" w:rsidP="005D18D8">
            <w:pPr>
              <w:spacing w:after="0"/>
            </w:pPr>
            <w:r w:rsidRPr="009505DF">
              <w:rPr>
                <w:rFonts w:eastAsia="Arial" w:cs="Arial"/>
              </w:rPr>
              <w:t>Fourth week</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6A941B1" w14:textId="77777777" w:rsidR="005D18D8" w:rsidRPr="009505DF" w:rsidRDefault="005D18D8" w:rsidP="005D18D8">
            <w:pPr>
              <w:spacing w:after="0"/>
            </w:pPr>
            <w:r w:rsidRPr="009505DF">
              <w:rPr>
                <w:rFonts w:eastAsia="Arial" w:cs="Arial"/>
              </w:rPr>
              <w:t>Quantitative analysis</w:t>
            </w:r>
          </w:p>
        </w:tc>
        <w:tc>
          <w:tcPr>
            <w:tcW w:w="61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649CBEA" w14:textId="77777777" w:rsidR="005D18D8" w:rsidRPr="009505DF" w:rsidRDefault="005D18D8" w:rsidP="005D18D8">
            <w:pPr>
              <w:spacing w:after="0"/>
            </w:pPr>
            <w:r w:rsidRPr="009505DF">
              <w:rPr>
                <w:rFonts w:eastAsia="Arial" w:cs="Arial"/>
              </w:rPr>
              <w:t>Baseline–endline analysis; descriptive statistics; disaggregation by gender, province, and disability status</w:t>
            </w:r>
          </w:p>
        </w:tc>
      </w:tr>
      <w:tr w:rsidR="009505DF" w:rsidRPr="009505DF" w14:paraId="09C809CE" w14:textId="77777777" w:rsidTr="00E941FD">
        <w:tc>
          <w:tcPr>
            <w:tcW w:w="14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14F61FFA" w14:textId="77777777" w:rsidR="005D18D8" w:rsidRPr="009505DF" w:rsidRDefault="00884F13" w:rsidP="005D18D8">
            <w:pPr>
              <w:spacing w:after="0"/>
            </w:pPr>
            <w:r w:rsidRPr="009505DF">
              <w:rPr>
                <w:rFonts w:eastAsia="Arial" w:cs="Arial"/>
              </w:rPr>
              <w:t>Fifth Week</w:t>
            </w:r>
          </w:p>
        </w:tc>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41357816" w14:textId="77777777" w:rsidR="005D18D8" w:rsidRPr="009505DF" w:rsidRDefault="005D18D8" w:rsidP="005D18D8">
            <w:pPr>
              <w:spacing w:after="0"/>
            </w:pPr>
            <w:r w:rsidRPr="009505DF">
              <w:rPr>
                <w:rFonts w:eastAsia="Arial" w:cs="Arial"/>
              </w:rPr>
              <w:t>Synthesis</w:t>
            </w:r>
          </w:p>
        </w:tc>
        <w:tc>
          <w:tcPr>
            <w:tcW w:w="6146"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3B4CBBA9" w14:textId="0DAF1A27" w:rsidR="005D18D8" w:rsidRPr="009505DF" w:rsidRDefault="005D18D8" w:rsidP="005D18D8">
            <w:pPr>
              <w:spacing w:after="0"/>
            </w:pPr>
            <w:r w:rsidRPr="009505DF">
              <w:t xml:space="preserve">Integration of findings; evidence assessment </w:t>
            </w:r>
          </w:p>
        </w:tc>
      </w:tr>
      <w:tr w:rsidR="009505DF" w:rsidRPr="009505DF" w14:paraId="07008AEA" w14:textId="77777777" w:rsidTr="00E941FD">
        <w:tc>
          <w:tcPr>
            <w:tcW w:w="14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5A2CDB48" w14:textId="77777777" w:rsidR="005D18D8" w:rsidRPr="009505DF" w:rsidRDefault="00884F13" w:rsidP="005D18D8">
            <w:pPr>
              <w:spacing w:after="0"/>
              <w:rPr>
                <w:rFonts w:eastAsia="Arial" w:cs="Arial"/>
              </w:rPr>
            </w:pPr>
            <w:r w:rsidRPr="009505DF">
              <w:rPr>
                <w:rFonts w:eastAsia="Arial" w:cs="Arial"/>
              </w:rPr>
              <w:t>Sixth Week</w:t>
            </w:r>
          </w:p>
        </w:tc>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05E542E2" w14:textId="77777777" w:rsidR="005D18D8" w:rsidRPr="009505DF" w:rsidRDefault="005D18D8" w:rsidP="005D18D8">
            <w:pPr>
              <w:spacing w:after="0"/>
              <w:rPr>
                <w:rFonts w:eastAsia="Arial" w:cs="Arial"/>
              </w:rPr>
            </w:pPr>
            <w:r w:rsidRPr="009505DF">
              <w:rPr>
                <w:rFonts w:eastAsia="Arial" w:cs="Arial"/>
              </w:rPr>
              <w:t>Validation</w:t>
            </w:r>
          </w:p>
        </w:tc>
        <w:tc>
          <w:tcPr>
            <w:tcW w:w="6146" w:type="dxa"/>
            <w:tcBorders>
              <w:top w:val="single" w:sz="1" w:space="0" w:color="AAAAAA"/>
              <w:left w:val="single" w:sz="1" w:space="0" w:color="AAAAAA"/>
              <w:bottom w:val="single" w:sz="1" w:space="0" w:color="AAAAAA"/>
              <w:right w:val="single" w:sz="1" w:space="0" w:color="AAAAAA"/>
            </w:tcBorders>
            <w:shd w:val="clear" w:color="auto" w:fill="D6E4F0"/>
            <w:tcMar>
              <w:top w:w="80" w:type="dxa"/>
              <w:left w:w="140" w:type="dxa"/>
              <w:bottom w:w="80" w:type="dxa"/>
              <w:right w:w="140" w:type="dxa"/>
            </w:tcMar>
          </w:tcPr>
          <w:p w14:paraId="474396E4" w14:textId="77777777" w:rsidR="005D18D8" w:rsidRPr="009505DF" w:rsidRDefault="005D18D8" w:rsidP="005D18D8">
            <w:pPr>
              <w:spacing w:after="0"/>
              <w:rPr>
                <w:rFonts w:eastAsia="Arial" w:cs="Arial"/>
              </w:rPr>
            </w:pPr>
            <w:r w:rsidRPr="009505DF">
              <w:rPr>
                <w:rFonts w:eastAsia="Arial" w:cs="Arial"/>
              </w:rPr>
              <w:t>Validation of results before incorporating in the draft report</w:t>
            </w:r>
          </w:p>
        </w:tc>
      </w:tr>
      <w:tr w:rsidR="009505DF" w:rsidRPr="009505DF" w14:paraId="184E540C" w14:textId="77777777" w:rsidTr="00E941FD">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ADDDD91" w14:textId="77777777" w:rsidR="005D18D8" w:rsidRPr="009505DF" w:rsidRDefault="00884F13" w:rsidP="005D18D8">
            <w:pPr>
              <w:spacing w:after="0"/>
            </w:pPr>
            <w:r w:rsidRPr="009505DF">
              <w:t>Sixth Week</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C89E41B" w14:textId="77777777" w:rsidR="005D18D8" w:rsidRPr="009505DF" w:rsidRDefault="005D18D8" w:rsidP="005D18D8">
            <w:pPr>
              <w:spacing w:after="0"/>
            </w:pPr>
            <w:r w:rsidRPr="009505DF">
              <w:rPr>
                <w:rFonts w:eastAsia="Arial" w:cs="Arial"/>
              </w:rPr>
              <w:t>Reporting</w:t>
            </w:r>
          </w:p>
        </w:tc>
        <w:tc>
          <w:tcPr>
            <w:tcW w:w="61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100D740" w14:textId="77777777" w:rsidR="005D18D8" w:rsidRPr="009505DF" w:rsidRDefault="005D18D8" w:rsidP="005D18D8">
            <w:pPr>
              <w:spacing w:after="0"/>
            </w:pPr>
            <w:r w:rsidRPr="009505DF">
              <w:rPr>
                <w:rFonts w:eastAsia="Arial" w:cs="Arial"/>
              </w:rPr>
              <w:t>Draft report, stakeholder validation workshop, final report submission</w:t>
            </w:r>
          </w:p>
        </w:tc>
      </w:tr>
    </w:tbl>
    <w:p w14:paraId="0FFB00C4" w14:textId="77777777" w:rsidR="009F4A5F" w:rsidRPr="009505DF" w:rsidRDefault="00FD4BA7" w:rsidP="005D18D8">
      <w:pPr>
        <w:spacing w:after="0"/>
      </w:pPr>
      <w:r w:rsidRPr="009505DF">
        <w:tab/>
      </w:r>
    </w:p>
    <w:p w14:paraId="2B592B38" w14:textId="77777777" w:rsidR="00CC0863" w:rsidRPr="009505DF" w:rsidRDefault="00CC0863" w:rsidP="005D18D8">
      <w:pPr>
        <w:pStyle w:val="HeadingC"/>
        <w:numPr>
          <w:ilvl w:val="1"/>
          <w:numId w:val="24"/>
        </w:numPr>
        <w:spacing w:before="0" w:after="0"/>
        <w:rPr>
          <w:color w:val="auto"/>
        </w:rPr>
      </w:pPr>
      <w:r w:rsidRPr="009505DF">
        <w:rPr>
          <w:rFonts w:asciiTheme="minorHAnsi" w:hAnsiTheme="minorHAnsi" w:cstheme="minorHAnsi"/>
          <w:color w:val="auto"/>
        </w:rPr>
        <w:t xml:space="preserve">Fee </w:t>
      </w:r>
    </w:p>
    <w:p w14:paraId="16DBD488" w14:textId="77777777" w:rsidR="009109BD" w:rsidRPr="009505DF" w:rsidRDefault="009109BD" w:rsidP="009109BD">
      <w:pPr>
        <w:spacing w:after="0"/>
        <w:rPr>
          <w:rFonts w:asciiTheme="minorHAnsi" w:hAnsiTheme="minorHAnsi" w:cstheme="minorHAnsi"/>
        </w:rPr>
      </w:pPr>
      <w:r w:rsidRPr="009505DF">
        <w:rPr>
          <w:rFonts w:asciiTheme="minorHAnsi" w:hAnsiTheme="minorHAnsi" w:cstheme="minorHAnsi"/>
        </w:rPr>
        <w:t>Maximum fee for the assignment will be determined based on the experience and qualification of consultant and proposed approach of evaluation.</w:t>
      </w:r>
    </w:p>
    <w:p w14:paraId="0A7524B0" w14:textId="77777777" w:rsidR="00F12C1F" w:rsidRPr="009505DF" w:rsidRDefault="00F12C1F" w:rsidP="009109BD">
      <w:pPr>
        <w:spacing w:after="0"/>
        <w:rPr>
          <w:rFonts w:asciiTheme="minorHAnsi" w:hAnsiTheme="minorHAnsi" w:cstheme="minorHAnsi"/>
        </w:rPr>
      </w:pPr>
    </w:p>
    <w:p w14:paraId="4B0D2367" w14:textId="77777777" w:rsidR="00CC0863" w:rsidRPr="009505DF" w:rsidRDefault="003A346F" w:rsidP="00F12C1F">
      <w:pPr>
        <w:spacing w:after="0"/>
        <w:rPr>
          <w:rFonts w:cs="Arial"/>
          <w:i/>
          <w:iCs/>
        </w:rPr>
      </w:pPr>
      <w:r w:rsidRPr="009505DF">
        <w:rPr>
          <w:rFonts w:cs="Arial"/>
          <w:b/>
          <w:i/>
          <w:iCs/>
        </w:rPr>
        <w:t xml:space="preserve">*Note: </w:t>
      </w:r>
      <w:r w:rsidRPr="009505DF">
        <w:rPr>
          <w:rFonts w:cs="Arial"/>
          <w:i/>
          <w:iCs/>
        </w:rPr>
        <w:t xml:space="preserve">The quotation must remain open for acceptance by the British Council for a minimum of thirty days from the date that it is issued to the British Council in response to the requirement. </w:t>
      </w:r>
    </w:p>
    <w:p w14:paraId="52141619" w14:textId="77777777" w:rsidR="005D18D8" w:rsidRPr="009505DF" w:rsidRDefault="005D18D8" w:rsidP="005D18D8">
      <w:pPr>
        <w:spacing w:after="0"/>
        <w:ind w:left="720"/>
        <w:rPr>
          <w:rFonts w:cs="Arial"/>
          <w:i/>
          <w:iCs/>
        </w:rPr>
      </w:pPr>
    </w:p>
    <w:p w14:paraId="67A09FFC" w14:textId="77777777" w:rsidR="008F5A17" w:rsidRPr="009505DF" w:rsidRDefault="008F5A17" w:rsidP="005D18D8">
      <w:pPr>
        <w:pStyle w:val="HeadingC"/>
        <w:numPr>
          <w:ilvl w:val="1"/>
          <w:numId w:val="24"/>
        </w:numPr>
        <w:spacing w:before="0" w:after="0"/>
        <w:rPr>
          <w:color w:val="auto"/>
        </w:rPr>
      </w:pPr>
      <w:r w:rsidRPr="009505DF">
        <w:rPr>
          <w:color w:val="auto"/>
        </w:rPr>
        <w:t xml:space="preserve">Reporting and communication </w:t>
      </w:r>
    </w:p>
    <w:p w14:paraId="18267DC3" w14:textId="77777777" w:rsidR="002A4907" w:rsidRPr="009505DF" w:rsidRDefault="002A4907" w:rsidP="005D18D8">
      <w:pPr>
        <w:spacing w:after="0"/>
        <w:rPr>
          <w:rFonts w:eastAsia="Arial" w:cs="Arial"/>
          <w:sz w:val="22"/>
          <w:szCs w:val="22"/>
        </w:rPr>
      </w:pPr>
    </w:p>
    <w:p w14:paraId="17B354F2" w14:textId="77777777" w:rsidR="00CF4702" w:rsidRPr="009505DF" w:rsidRDefault="002A4907" w:rsidP="005D18D8">
      <w:pPr>
        <w:spacing w:after="0"/>
        <w:rPr>
          <w:rFonts w:asciiTheme="minorHAnsi" w:hAnsiTheme="minorHAnsi" w:cstheme="minorHAnsi"/>
        </w:rPr>
      </w:pPr>
      <w:r w:rsidRPr="009505DF">
        <w:rPr>
          <w:rFonts w:asciiTheme="minorHAnsi" w:hAnsiTheme="minorHAnsi" w:cstheme="minorHAnsi"/>
        </w:rPr>
        <w:t>The consultant will liaise / coordinate with the ILMpact Senior MEL Lead for assignment oversight and deliverable review.</w:t>
      </w:r>
    </w:p>
    <w:p w14:paraId="55CE76BE" w14:textId="77777777" w:rsidR="002A4907" w:rsidRPr="009505DF" w:rsidRDefault="002A4907" w:rsidP="002A4907">
      <w:pPr>
        <w:pStyle w:val="HeadingC"/>
        <w:spacing w:before="0" w:after="0"/>
        <w:ind w:left="720"/>
        <w:rPr>
          <w:color w:val="auto"/>
        </w:rPr>
      </w:pPr>
    </w:p>
    <w:p w14:paraId="6CAE4504" w14:textId="77777777" w:rsidR="008D6835" w:rsidRPr="009505DF" w:rsidRDefault="00205777" w:rsidP="005D18D8">
      <w:pPr>
        <w:pStyle w:val="HeadingC"/>
        <w:numPr>
          <w:ilvl w:val="1"/>
          <w:numId w:val="24"/>
        </w:numPr>
        <w:spacing w:before="0" w:after="0"/>
        <w:rPr>
          <w:color w:val="auto"/>
        </w:rPr>
      </w:pPr>
      <w:r w:rsidRPr="009505DF">
        <w:rPr>
          <w:color w:val="auto"/>
        </w:rPr>
        <w:t>Qualifications and experience required.</w:t>
      </w:r>
    </w:p>
    <w:p w14:paraId="749A9D2A" w14:textId="77777777" w:rsidR="00F12C1F" w:rsidRPr="009505DF" w:rsidRDefault="00F12C1F" w:rsidP="00F12C1F">
      <w:pPr>
        <w:pStyle w:val="HeadingC"/>
        <w:spacing w:before="0" w:after="0"/>
        <w:ind w:left="720"/>
        <w:rPr>
          <w:color w:val="auto"/>
        </w:rPr>
      </w:pPr>
    </w:p>
    <w:p w14:paraId="6A8C580E" w14:textId="66B564BE" w:rsidR="005D18D8" w:rsidRPr="009505DF" w:rsidRDefault="005D18D8" w:rsidP="005D18D8">
      <w:pPr>
        <w:pStyle w:val="ListParagraph"/>
        <w:numPr>
          <w:ilvl w:val="0"/>
          <w:numId w:val="32"/>
        </w:numPr>
        <w:spacing w:after="0"/>
        <w:contextualSpacing w:val="0"/>
      </w:pPr>
      <w:r w:rsidRPr="009505DF">
        <w:rPr>
          <w:rFonts w:eastAsia="Arial" w:cs="Arial"/>
        </w:rPr>
        <w:t>Advanced degree in education, economics, social sciences</w:t>
      </w:r>
      <w:r w:rsidR="00C030D1">
        <w:rPr>
          <w:rFonts w:eastAsia="Arial" w:cs="Arial"/>
        </w:rPr>
        <w:t>, statistics</w:t>
      </w:r>
      <w:r w:rsidRPr="009505DF">
        <w:rPr>
          <w:rFonts w:eastAsia="Arial" w:cs="Arial"/>
        </w:rPr>
        <w:t>, or a related field.</w:t>
      </w:r>
    </w:p>
    <w:p w14:paraId="251AFE69" w14:textId="7A31D87E" w:rsidR="005D18D8" w:rsidRPr="009505DF" w:rsidRDefault="005D18D8" w:rsidP="005D18D8">
      <w:pPr>
        <w:pStyle w:val="ListParagraph"/>
        <w:numPr>
          <w:ilvl w:val="0"/>
          <w:numId w:val="32"/>
        </w:numPr>
        <w:spacing w:after="0"/>
        <w:contextualSpacing w:val="0"/>
      </w:pPr>
      <w:r w:rsidRPr="009505DF">
        <w:t>Demonstrated expertise in mixed-methods evaluation; strong quantitative skills for descriptive and comparative analysis; experience with data quality assessment including sampling validation and attrition analysis.</w:t>
      </w:r>
    </w:p>
    <w:p w14:paraId="179EB626" w14:textId="77777777" w:rsidR="005D18D8" w:rsidRPr="009505DF" w:rsidRDefault="005D18D8" w:rsidP="005D18D8">
      <w:pPr>
        <w:pStyle w:val="ListParagraph"/>
        <w:numPr>
          <w:ilvl w:val="0"/>
          <w:numId w:val="32"/>
        </w:numPr>
        <w:spacing w:after="0"/>
        <w:contextualSpacing w:val="0"/>
      </w:pPr>
      <w:r w:rsidRPr="009505DF">
        <w:rPr>
          <w:rFonts w:eastAsia="Arial" w:cs="Arial"/>
        </w:rPr>
        <w:t>Strong qualitative research skills — experience facilitating FGDs and KIIs in complex, multilingual contexts.</w:t>
      </w:r>
    </w:p>
    <w:p w14:paraId="3EBE8587" w14:textId="77777777" w:rsidR="005D18D8" w:rsidRPr="009505DF" w:rsidRDefault="005D18D8" w:rsidP="005D18D8">
      <w:pPr>
        <w:pStyle w:val="ListParagraph"/>
        <w:numPr>
          <w:ilvl w:val="0"/>
          <w:numId w:val="32"/>
        </w:numPr>
        <w:spacing w:after="0"/>
        <w:contextualSpacing w:val="0"/>
      </w:pPr>
      <w:r w:rsidRPr="009505DF">
        <w:rPr>
          <w:rFonts w:eastAsia="Arial" w:cs="Arial"/>
        </w:rPr>
        <w:t>Prior experience evaluating education programmes in Pakistan or comparable South Asian contexts; familiarity with TaRL/FLN approaches is an advantage.</w:t>
      </w:r>
    </w:p>
    <w:p w14:paraId="2E156EF3" w14:textId="77777777" w:rsidR="005D18D8" w:rsidRPr="009505DF" w:rsidRDefault="005D18D8" w:rsidP="005D18D8">
      <w:pPr>
        <w:pStyle w:val="ListParagraph"/>
        <w:numPr>
          <w:ilvl w:val="0"/>
          <w:numId w:val="32"/>
        </w:numPr>
        <w:spacing w:after="0"/>
        <w:contextualSpacing w:val="0"/>
      </w:pPr>
      <w:r w:rsidRPr="009505DF">
        <w:rPr>
          <w:rFonts w:eastAsia="Arial" w:cs="Arial"/>
        </w:rPr>
        <w:t>Knowledge of evidence-based evaluation standards and OECD evaluation criteria.</w:t>
      </w:r>
    </w:p>
    <w:p w14:paraId="074E3121" w14:textId="77777777" w:rsidR="005D18D8" w:rsidRPr="009505DF" w:rsidRDefault="005D18D8" w:rsidP="005D18D8">
      <w:pPr>
        <w:pStyle w:val="ListParagraph"/>
        <w:numPr>
          <w:ilvl w:val="0"/>
          <w:numId w:val="32"/>
        </w:numPr>
        <w:spacing w:after="0"/>
        <w:contextualSpacing w:val="0"/>
      </w:pPr>
      <w:r w:rsidRPr="009505DF">
        <w:rPr>
          <w:rFonts w:eastAsia="Arial" w:cs="Arial"/>
        </w:rPr>
        <w:t>Proficiency in Stata, R, or Python for quantitative analysis; ability to produce clear visualisations and accessible reporting.</w:t>
      </w:r>
    </w:p>
    <w:p w14:paraId="5DBF7217" w14:textId="77777777" w:rsidR="005D18D8" w:rsidRPr="009505DF" w:rsidRDefault="005D18D8" w:rsidP="005D18D8">
      <w:pPr>
        <w:pStyle w:val="ListParagraph"/>
        <w:numPr>
          <w:ilvl w:val="0"/>
          <w:numId w:val="32"/>
        </w:numPr>
        <w:spacing w:after="0"/>
        <w:contextualSpacing w:val="0"/>
      </w:pPr>
      <w:r w:rsidRPr="009505DF">
        <w:rPr>
          <w:rFonts w:eastAsia="Arial" w:cs="Arial"/>
        </w:rPr>
        <w:t>Availability to conduct field visits to Punjab and KP within the assignment period.</w:t>
      </w:r>
    </w:p>
    <w:p w14:paraId="1488B18D" w14:textId="77777777" w:rsidR="005D18D8" w:rsidRPr="009505DF" w:rsidRDefault="005D18D8" w:rsidP="005D18D8">
      <w:pPr>
        <w:pStyle w:val="HeadingC"/>
        <w:spacing w:before="0" w:after="0"/>
        <w:ind w:left="720"/>
        <w:rPr>
          <w:color w:val="auto"/>
        </w:rPr>
      </w:pPr>
    </w:p>
    <w:p w14:paraId="5B1035DA" w14:textId="77777777" w:rsidR="005D18D8" w:rsidRPr="009505DF" w:rsidRDefault="003C6B01" w:rsidP="005D18D8">
      <w:pPr>
        <w:pStyle w:val="HeadingC"/>
        <w:numPr>
          <w:ilvl w:val="1"/>
          <w:numId w:val="24"/>
        </w:numPr>
        <w:spacing w:before="0" w:after="0"/>
        <w:rPr>
          <w:color w:val="auto"/>
        </w:rPr>
      </w:pPr>
      <w:r w:rsidRPr="009505DF">
        <w:rPr>
          <w:color w:val="auto"/>
        </w:rPr>
        <w:lastRenderedPageBreak/>
        <w:t>How to apply</w:t>
      </w:r>
    </w:p>
    <w:p w14:paraId="17EEDEEA" w14:textId="1414B3F8" w:rsidR="005D18D8" w:rsidRPr="009505DF" w:rsidRDefault="005D18D8" w:rsidP="005D18D8">
      <w:pPr>
        <w:spacing w:after="0"/>
      </w:pPr>
      <w:r w:rsidRPr="009505DF">
        <w:rPr>
          <w:rFonts w:eastAsia="Arial" w:cs="Arial"/>
        </w:rPr>
        <w:t xml:space="preserve">Interested consultants or firms should submit the technical and financial proposal to two following emails </w:t>
      </w:r>
      <w:hyperlink r:id="rId11" w:history="1">
        <w:r w:rsidRPr="009505DF">
          <w:rPr>
            <w:rStyle w:val="Hyperlink"/>
            <w:rFonts w:eastAsia="Arial" w:cs="Arial"/>
            <w:color w:val="auto"/>
          </w:rPr>
          <w:t>atif.naveed@britishcouncil.org</w:t>
        </w:r>
      </w:hyperlink>
      <w:r w:rsidRPr="009505DF">
        <w:rPr>
          <w:rFonts w:eastAsia="Arial" w:cs="Arial"/>
        </w:rPr>
        <w:t xml:space="preserve"> </w:t>
      </w:r>
      <w:r w:rsidR="00C030D1">
        <w:rPr>
          <w:rFonts w:eastAsia="Arial" w:cs="Arial"/>
        </w:rPr>
        <w:t xml:space="preserve">and </w:t>
      </w:r>
      <w:hyperlink r:id="rId12" w:history="1">
        <w:r w:rsidRPr="009505DF">
          <w:rPr>
            <w:rStyle w:val="Hyperlink"/>
            <w:color w:val="auto"/>
          </w:rPr>
          <w:t>Rizwan.mahmood@britishcouncil.org</w:t>
        </w:r>
      </w:hyperlink>
      <w:r w:rsidRPr="009505DF">
        <w:t>. For any queries, please contact Rizwan Mahmood (Senior MEL Lead) through email.</w:t>
      </w:r>
    </w:p>
    <w:p w14:paraId="41EA6E01" w14:textId="77777777" w:rsidR="00EB6193" w:rsidRPr="009505DF" w:rsidRDefault="00EB6193" w:rsidP="005D18D8">
      <w:pPr>
        <w:spacing w:after="0"/>
        <w:rPr>
          <w:rFonts w:eastAsia="Arial" w:cs="Arial"/>
        </w:rPr>
      </w:pPr>
    </w:p>
    <w:p w14:paraId="598B02A4" w14:textId="77777777" w:rsidR="005D18D8" w:rsidRPr="009505DF" w:rsidRDefault="005D18D8" w:rsidP="005D18D8">
      <w:pPr>
        <w:pStyle w:val="ListParagraph"/>
        <w:numPr>
          <w:ilvl w:val="0"/>
          <w:numId w:val="33"/>
        </w:numPr>
        <w:spacing w:after="0"/>
        <w:contextualSpacing w:val="0"/>
      </w:pPr>
      <w:r w:rsidRPr="009505DF">
        <w:rPr>
          <w:rFonts w:eastAsia="Arial" w:cs="Arial"/>
        </w:rPr>
        <w:t>Technical proposal: understanding of the assignment, proposed methodology, and workplan.</w:t>
      </w:r>
    </w:p>
    <w:p w14:paraId="44F12518" w14:textId="77777777" w:rsidR="005D18D8" w:rsidRPr="009505DF" w:rsidRDefault="005D18D8" w:rsidP="005D18D8">
      <w:pPr>
        <w:pStyle w:val="ListParagraph"/>
        <w:numPr>
          <w:ilvl w:val="0"/>
          <w:numId w:val="33"/>
        </w:numPr>
        <w:spacing w:after="0"/>
        <w:contextualSpacing w:val="0"/>
      </w:pPr>
      <w:r w:rsidRPr="009505DF">
        <w:rPr>
          <w:rFonts w:eastAsia="Arial" w:cs="Arial"/>
        </w:rPr>
        <w:t>Financial proposal: itemised budget with daily rates and estimated costs.</w:t>
      </w:r>
    </w:p>
    <w:p w14:paraId="7228E98D" w14:textId="77777777" w:rsidR="005D18D8" w:rsidRPr="009505DF" w:rsidRDefault="005D18D8" w:rsidP="005D18D8">
      <w:pPr>
        <w:pStyle w:val="ListParagraph"/>
        <w:numPr>
          <w:ilvl w:val="0"/>
          <w:numId w:val="33"/>
        </w:numPr>
        <w:spacing w:after="0"/>
        <w:contextualSpacing w:val="0"/>
      </w:pPr>
      <w:r w:rsidRPr="009505DF">
        <w:rPr>
          <w:rFonts w:eastAsia="Arial" w:cs="Arial"/>
        </w:rPr>
        <w:t>CV of key personnel and at least two relevant evaluation samples.</w:t>
      </w:r>
    </w:p>
    <w:p w14:paraId="2694AC47" w14:textId="77777777" w:rsidR="00D73B8C" w:rsidRPr="009505DF" w:rsidRDefault="00D73B8C" w:rsidP="005D18D8">
      <w:pPr>
        <w:pStyle w:val="HeadingC"/>
        <w:spacing w:before="0" w:after="0"/>
        <w:ind w:left="720"/>
        <w:rPr>
          <w:b w:val="0"/>
          <w:bCs/>
          <w:i/>
          <w:iCs/>
          <w:color w:val="auto"/>
          <w:sz w:val="24"/>
        </w:rPr>
      </w:pPr>
    </w:p>
    <w:p w14:paraId="30A1E28E" w14:textId="77777777" w:rsidR="00EE5CDC" w:rsidRPr="009505DF" w:rsidRDefault="00536532" w:rsidP="005D18D8">
      <w:pPr>
        <w:pStyle w:val="HeadingC"/>
        <w:numPr>
          <w:ilvl w:val="1"/>
          <w:numId w:val="24"/>
        </w:numPr>
        <w:spacing w:before="0" w:after="0"/>
        <w:rPr>
          <w:color w:val="auto"/>
        </w:rPr>
      </w:pPr>
      <w:r w:rsidRPr="009505DF">
        <w:rPr>
          <w:color w:val="auto"/>
        </w:rPr>
        <w:t>Criteria for evaluation</w:t>
      </w:r>
    </w:p>
    <w:p w14:paraId="4D7D355B" w14:textId="77777777" w:rsidR="00F12C1F" w:rsidRPr="009505DF" w:rsidRDefault="00F12C1F" w:rsidP="00F12C1F">
      <w:pPr>
        <w:pStyle w:val="HeadingC"/>
        <w:spacing w:before="0" w:after="0"/>
        <w:rPr>
          <w:rFonts w:eastAsia="Arial" w:cs="Arial"/>
          <w:b w:val="0"/>
          <w:color w:val="auto"/>
          <w:sz w:val="22"/>
          <w:szCs w:val="22"/>
        </w:rPr>
      </w:pPr>
      <w:r w:rsidRPr="009505DF">
        <w:rPr>
          <w:rFonts w:eastAsia="Arial" w:cs="Arial"/>
          <w:b w:val="0"/>
          <w:color w:val="auto"/>
          <w:sz w:val="22"/>
          <w:szCs w:val="22"/>
        </w:rPr>
        <w:t>Following Criteria would be used for Evaluating the proposals.</w:t>
      </w:r>
    </w:p>
    <w:p w14:paraId="5774C0BE" w14:textId="77777777" w:rsidR="00F12C1F" w:rsidRPr="009505DF" w:rsidRDefault="00F12C1F" w:rsidP="00F12C1F">
      <w:pPr>
        <w:pStyle w:val="HeadingC"/>
        <w:spacing w:before="0" w:after="0"/>
        <w:rPr>
          <w:color w:val="auto"/>
        </w:rPr>
      </w:pPr>
    </w:p>
    <w:p w14:paraId="35132D50" w14:textId="77777777" w:rsidR="006A0630" w:rsidRPr="00C030D1" w:rsidRDefault="00F12C1F" w:rsidP="00C030D1">
      <w:pPr>
        <w:pStyle w:val="ListParagraph"/>
        <w:numPr>
          <w:ilvl w:val="0"/>
          <w:numId w:val="43"/>
        </w:numPr>
        <w:spacing w:after="0"/>
        <w:rPr>
          <w:rFonts w:asciiTheme="minorHAnsi" w:hAnsiTheme="minorHAnsi" w:cstheme="minorHAnsi"/>
        </w:rPr>
      </w:pPr>
      <w:r w:rsidRPr="00C030D1">
        <w:rPr>
          <w:rFonts w:asciiTheme="minorHAnsi" w:hAnsiTheme="minorHAnsi" w:cstheme="minorHAnsi"/>
        </w:rPr>
        <w:t>Professional qualification relevant to the assignment (30%)</w:t>
      </w:r>
    </w:p>
    <w:p w14:paraId="3BBE2C4E" w14:textId="77777777" w:rsidR="006A0630" w:rsidRPr="00C030D1" w:rsidRDefault="00F12C1F" w:rsidP="00C030D1">
      <w:pPr>
        <w:pStyle w:val="ListParagraph"/>
        <w:numPr>
          <w:ilvl w:val="0"/>
          <w:numId w:val="43"/>
        </w:numPr>
        <w:spacing w:after="0"/>
        <w:rPr>
          <w:rFonts w:asciiTheme="minorHAnsi" w:hAnsiTheme="minorHAnsi" w:cstheme="minorHAnsi"/>
        </w:rPr>
      </w:pPr>
      <w:r w:rsidRPr="00C030D1">
        <w:rPr>
          <w:rFonts w:asciiTheme="minorHAnsi" w:hAnsiTheme="minorHAnsi" w:cstheme="minorHAnsi"/>
        </w:rPr>
        <w:t>Relevant experience of Education Programme Evaluations (20%)</w:t>
      </w:r>
    </w:p>
    <w:p w14:paraId="09B688CD" w14:textId="77777777" w:rsidR="006A0630" w:rsidRPr="00C030D1" w:rsidRDefault="00F12C1F" w:rsidP="00C030D1">
      <w:pPr>
        <w:pStyle w:val="ListParagraph"/>
        <w:numPr>
          <w:ilvl w:val="0"/>
          <w:numId w:val="43"/>
        </w:numPr>
        <w:spacing w:after="0"/>
        <w:rPr>
          <w:rFonts w:asciiTheme="minorHAnsi" w:hAnsiTheme="minorHAnsi" w:cstheme="minorHAnsi"/>
        </w:rPr>
      </w:pPr>
      <w:r w:rsidRPr="00C030D1">
        <w:rPr>
          <w:rFonts w:asciiTheme="minorHAnsi" w:hAnsiTheme="minorHAnsi" w:cstheme="minorHAnsi"/>
        </w:rPr>
        <w:t>Technical Approach to carry out the assignment (20%)</w:t>
      </w:r>
    </w:p>
    <w:p w14:paraId="3AAAD97E" w14:textId="77777777" w:rsidR="00FD10B2" w:rsidRPr="00C030D1" w:rsidRDefault="00FD10B2" w:rsidP="00C030D1">
      <w:pPr>
        <w:pStyle w:val="ListParagraph"/>
        <w:numPr>
          <w:ilvl w:val="0"/>
          <w:numId w:val="43"/>
        </w:numPr>
        <w:spacing w:after="0"/>
        <w:rPr>
          <w:rFonts w:asciiTheme="minorHAnsi" w:hAnsiTheme="minorHAnsi" w:cstheme="minorHAnsi"/>
        </w:rPr>
      </w:pPr>
      <w:r w:rsidRPr="00C030D1">
        <w:rPr>
          <w:rFonts w:asciiTheme="minorHAnsi" w:hAnsiTheme="minorHAnsi" w:cstheme="minorHAnsi"/>
        </w:rPr>
        <w:t>Responsiveness to GESSI in technical proposal (10%)</w:t>
      </w:r>
    </w:p>
    <w:p w14:paraId="47669961" w14:textId="77777777" w:rsidR="00CB1642" w:rsidRPr="00C030D1" w:rsidRDefault="00F12C1F" w:rsidP="00C030D1">
      <w:pPr>
        <w:pStyle w:val="ListParagraph"/>
        <w:numPr>
          <w:ilvl w:val="0"/>
          <w:numId w:val="43"/>
        </w:numPr>
        <w:spacing w:after="0"/>
        <w:rPr>
          <w:rFonts w:asciiTheme="minorHAnsi" w:hAnsiTheme="minorHAnsi" w:cstheme="minorHAnsi"/>
        </w:rPr>
      </w:pPr>
      <w:r w:rsidRPr="00C030D1">
        <w:rPr>
          <w:rFonts w:asciiTheme="minorHAnsi" w:hAnsiTheme="minorHAnsi" w:cstheme="minorHAnsi"/>
        </w:rPr>
        <w:t>Financial Proposal (Value for money) (20%)</w:t>
      </w:r>
    </w:p>
    <w:p w14:paraId="4616F993" w14:textId="77777777" w:rsidR="00EB6193" w:rsidRPr="009505DF" w:rsidRDefault="00EB6193" w:rsidP="00FD10B2">
      <w:pPr>
        <w:pStyle w:val="ListParagraph"/>
        <w:spacing w:after="0"/>
        <w:ind w:left="1440"/>
        <w:rPr>
          <w:rFonts w:asciiTheme="minorHAnsi" w:hAnsiTheme="minorHAnsi" w:cstheme="minorHAnsi"/>
        </w:rPr>
      </w:pPr>
    </w:p>
    <w:p w14:paraId="7A716659" w14:textId="77777777" w:rsidR="00EE5CDC" w:rsidRPr="009505DF" w:rsidRDefault="00EE5CDC" w:rsidP="00F12C1F">
      <w:pPr>
        <w:pStyle w:val="HeadingC"/>
        <w:spacing w:before="0" w:after="0"/>
        <w:rPr>
          <w:color w:val="auto"/>
        </w:rPr>
      </w:pPr>
    </w:p>
    <w:p w14:paraId="6B705E63" w14:textId="77777777" w:rsidR="00536532" w:rsidRPr="009505DF" w:rsidRDefault="00536532" w:rsidP="005D18D8">
      <w:pPr>
        <w:pStyle w:val="HeadingC"/>
        <w:spacing w:before="0" w:after="0"/>
        <w:rPr>
          <w:color w:val="auto"/>
        </w:rPr>
      </w:pPr>
    </w:p>
    <w:p w14:paraId="50E1F81F" w14:textId="77777777" w:rsidR="00EE5CDC" w:rsidRPr="009505DF" w:rsidRDefault="00EE5CDC" w:rsidP="005D18D8">
      <w:pPr>
        <w:pStyle w:val="HeadingC"/>
        <w:spacing w:before="0" w:after="0"/>
        <w:rPr>
          <w:color w:val="auto"/>
        </w:rPr>
      </w:pPr>
    </w:p>
    <w:sectPr w:rsidR="00EE5CDC" w:rsidRPr="009505DF" w:rsidSect="000E486C">
      <w:headerReference w:type="default" r:id="rId13"/>
      <w:footerReference w:type="default" r:id="rId14"/>
      <w:headerReference w:type="first" r:id="rId15"/>
      <w:footerReference w:type="first" r:id="rId16"/>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51E0" w14:textId="77777777" w:rsidR="00D450C8" w:rsidRDefault="00D450C8" w:rsidP="004E0F0F">
      <w:pPr>
        <w:spacing w:after="0" w:line="240" w:lineRule="auto"/>
      </w:pPr>
      <w:r>
        <w:separator/>
      </w:r>
    </w:p>
  </w:endnote>
  <w:endnote w:type="continuationSeparator" w:id="0">
    <w:p w14:paraId="7C77380F" w14:textId="77777777" w:rsidR="00D450C8" w:rsidRDefault="00D450C8"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78973"/>
      <w:docPartObj>
        <w:docPartGallery w:val="Page Numbers (Bottom of Page)"/>
        <w:docPartUnique/>
      </w:docPartObj>
    </w:sdtPr>
    <w:sdtEndPr>
      <w:rPr>
        <w:noProof/>
      </w:rPr>
    </w:sdtEndPr>
    <w:sdtContent>
      <w:p w14:paraId="5DC2321B" w14:textId="77777777" w:rsidR="003956CC" w:rsidRDefault="00395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90D65" w14:textId="7CA8792E" w:rsidR="003956CC" w:rsidRDefault="00CF69EB" w:rsidP="00763C8A">
    <w:pPr>
      <w:pStyle w:val="Footer"/>
      <w:tabs>
        <w:tab w:val="clear" w:pos="4320"/>
        <w:tab w:val="clear" w:pos="8640"/>
        <w:tab w:val="right" w:pos="10198"/>
      </w:tabs>
    </w:pPr>
    <w:r>
      <w:t>GRM</w:t>
    </w:r>
    <w:r w:rsidR="003956CC">
      <w:tab/>
      <w:t xml:space="preserve">Version number: </w:t>
    </w:r>
    <w:r w:rsidR="003956CC" w:rsidRPr="00763C8A">
      <w:rPr>
        <w:b/>
        <w:bCs/>
      </w:rPr>
      <w:t>1.</w:t>
    </w:r>
    <w:r w:rsidR="00895CE1">
      <w:rPr>
        <w:b/>
        <w:bCs/>
      </w:rPr>
      <w:t>2</w:t>
    </w:r>
  </w:p>
  <w:p w14:paraId="3C53E8DB" w14:textId="2655B4AE" w:rsidR="003956CC" w:rsidRPr="00763C8A" w:rsidRDefault="007E1153" w:rsidP="00763C8A">
    <w:pPr>
      <w:pStyle w:val="Footer"/>
      <w:tabs>
        <w:tab w:val="clear" w:pos="4320"/>
        <w:tab w:val="clear" w:pos="8640"/>
        <w:tab w:val="right" w:pos="10198"/>
      </w:tabs>
    </w:pPr>
    <w:r>
      <w:t>V</w:t>
    </w:r>
    <w:r w:rsidR="00CF69EB">
      <w:t>ersion</w:t>
    </w:r>
    <w:r w:rsidR="003956CC">
      <w:t xml:space="preserve"> date:</w:t>
    </w:r>
    <w:r w:rsidR="005D18D8">
      <w:t xml:space="preserve"> </w:t>
    </w:r>
    <w:r w:rsidR="00895CE1">
      <w:t>01</w:t>
    </w:r>
    <w:r w:rsidR="005D18D8">
      <w:t>/0</w:t>
    </w:r>
    <w:r w:rsidR="00895CE1">
      <w:t>6</w:t>
    </w:r>
    <w:r w:rsidR="005D18D8">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423D" w14:textId="77777777" w:rsidR="003956CC" w:rsidRPr="003855BB" w:rsidRDefault="003956CC"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8922" w14:textId="77777777" w:rsidR="00D450C8" w:rsidRDefault="00D450C8" w:rsidP="004E0F0F">
      <w:pPr>
        <w:spacing w:after="0" w:line="240" w:lineRule="auto"/>
      </w:pPr>
      <w:r>
        <w:separator/>
      </w:r>
    </w:p>
  </w:footnote>
  <w:footnote w:type="continuationSeparator" w:id="0">
    <w:p w14:paraId="460B2818" w14:textId="77777777" w:rsidR="00D450C8" w:rsidRDefault="00D450C8"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8F9E" w14:textId="77777777" w:rsidR="003956CC" w:rsidRDefault="003956CC">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14067B04" wp14:editId="57A9FF73">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426135B"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J1dUwwEAAPkDAAAOAAAAZHJzL2Uyb0RvYy54bWysU8tu2zAQvBfIPxC8x5LcInAFyzkkSC5F GvTxAQy5tAjwBZKx5L/PkpJlIy0QoOiFIrk7MzvL1fZ2NJocIETlbEebVU0JWO6EsvuO/v71cL2h JCZmBdPOQkePEOnt7urTdvAtrF3vtIBAkMTGdvAd7VPybVVF3oNhceU8WAxKFwxLeAz7SgQ2ILvR 1bqub6rBBeGD4xAj3t5PQbor/FICT9+ljJCI7ijWlsoayvqS12q3Ze0+MN8rPpfB/qEKw5RF0YXq niVGXoP6g8ooHlx0Mq24M5WTUnEoHtBNU79z87NnHooXbE70S5vi/6PlT4c7+xywDYOPbfTPIbsY ZTD5i/WRsTTruDQLxkQ4Xn7ZfL2psaX8FKrOOB9iegRnSN50VCubbbCWHb7FhFqYekrJ19qSoaOf N03hYzgGwYoCiE4r8aC0zmllKOBOB3Jg+JyMc7BpnZ8Q+S4y8aRtBkAZgFny7K/s0lHDpP0DJFEC Ha0nyTx671WaWUVbzM4wiTUtwPpj4Jx/rmoBNx+DJx8nZWfTAjbKuvA3gjSeSpZTPjbpwnfevjhx LC9fAjhfpY/zv5AH+PJc4Oc/dvcGAAD//wMAUEsDBBQABgAIAAAAIQCge3Zm2wAAAAYBAAAPAAAA ZHJzL2Rvd25yZXYueG1sTI/BTsMwEETvSPyDtZW4UadB0DaNUwFSkTjSwqE3J16SiHhtYicNfD2L eoDTajSj2Tf5drKdGLEPrSMFi3kCAqlypqVawethd70CEaImoztHqOALA2yLy4tcZ8ad6AXHfawF l1DItIImRp9JGaoGrQ5z55HYe3e91ZFlX0vT6xOX206mSXInrW6JPzTa42OD1cd+sApGv6PUDk9T O6zfbsrPh2Ptv5+VuppN9xsQEaf4F4ZffEaHgplKN5AJolNwu+SggnXCl+1VykPKs5ZFLv/jFz8A AAD//wMAUEsBAi0AFAAGAAgAAAAhALaDOJL+AAAA4QEAABMAAAAAAAAAAAAAAAAAAAAAAFtDb250 ZW50X1R5cGVzXS54bWxQSwECLQAUAAYACAAAACEAOP0h/9YAAACUAQAACwAAAAAAAAAAAAAAAAAv AQAAX3JlbHMvLnJlbHNQSwECLQAUAAYACAAAACEAFidXVMMBAAD5AwAADgAAAAAAAAAAAAAAAAAu AgAAZHJzL2Uyb0RvYy54bWxQSwECLQAUAAYACAAAACEAoHt2ZtsAAAAGAQAADwAAAAAAAAAAAAAA AAAdBAAAZHJzL2Rvd25yZXYueG1sUEsFBgAAAAAEAAQA8wAAACUFAAAAAA== " strokecolor="#b25eff [3205]"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D3C3" w14:textId="77777777" w:rsidR="003956CC" w:rsidRDefault="003956CC">
    <w:pPr>
      <w:pStyle w:val="Header"/>
    </w:pPr>
    <w:r>
      <w:rPr>
        <w:noProof/>
        <w:lang w:val="en-US"/>
      </w:rPr>
      <w:drawing>
        <wp:anchor distT="0" distB="424815" distL="114300" distR="114300" simplePos="0" relativeHeight="251670528" behindDoc="0" locked="0" layoutInCell="1" allowOverlap="1" wp14:anchorId="2FB9C50E" wp14:editId="04C9819B">
          <wp:simplePos x="0" y="0"/>
          <wp:positionH relativeFrom="page">
            <wp:posOffset>540385</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D5643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0E6ABB"/>
    <w:multiLevelType w:val="hybridMultilevel"/>
    <w:tmpl w:val="76F067F0"/>
    <w:lvl w:ilvl="0" w:tplc="08090005">
      <w:start w:val="1"/>
      <w:numFmt w:val="bullet"/>
      <w:lvlText w:val=""/>
      <w:lvlJc w:val="left"/>
      <w:pPr>
        <w:ind w:left="600" w:hanging="3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B017EB"/>
    <w:multiLevelType w:val="hybridMultilevel"/>
    <w:tmpl w:val="1A9EA334"/>
    <w:lvl w:ilvl="0" w:tplc="08090005">
      <w:start w:val="1"/>
      <w:numFmt w:val="bullet"/>
      <w:lvlText w:val=""/>
      <w:lvlJc w:val="left"/>
      <w:pPr>
        <w:ind w:left="1000" w:hanging="300"/>
      </w:pPr>
      <w:rPr>
        <w:rFonts w:ascii="Wingdings" w:hAnsi="Wingdings" w:hint="default"/>
      </w:rPr>
    </w:lvl>
    <w:lvl w:ilvl="1" w:tplc="2206B998">
      <w:numFmt w:val="decimal"/>
      <w:lvlText w:val=""/>
      <w:lvlJc w:val="left"/>
    </w:lvl>
    <w:lvl w:ilvl="2" w:tplc="8DDA4A7C">
      <w:numFmt w:val="decimal"/>
      <w:lvlText w:val=""/>
      <w:lvlJc w:val="left"/>
    </w:lvl>
    <w:lvl w:ilvl="3" w:tplc="DE72698E">
      <w:numFmt w:val="decimal"/>
      <w:lvlText w:val=""/>
      <w:lvlJc w:val="left"/>
    </w:lvl>
    <w:lvl w:ilvl="4" w:tplc="C994E152">
      <w:numFmt w:val="decimal"/>
      <w:lvlText w:val=""/>
      <w:lvlJc w:val="left"/>
    </w:lvl>
    <w:lvl w:ilvl="5" w:tplc="94FE5F8A">
      <w:numFmt w:val="decimal"/>
      <w:lvlText w:val=""/>
      <w:lvlJc w:val="left"/>
    </w:lvl>
    <w:lvl w:ilvl="6" w:tplc="98F44546">
      <w:numFmt w:val="decimal"/>
      <w:lvlText w:val=""/>
      <w:lvlJc w:val="left"/>
    </w:lvl>
    <w:lvl w:ilvl="7" w:tplc="0AE0B5C8">
      <w:numFmt w:val="decimal"/>
      <w:lvlText w:val=""/>
      <w:lvlJc w:val="left"/>
    </w:lvl>
    <w:lvl w:ilvl="8" w:tplc="3588EB74">
      <w:numFmt w:val="decimal"/>
      <w:lvlText w:val=""/>
      <w:lvlJc w:val="left"/>
    </w:lvl>
  </w:abstractNum>
  <w:abstractNum w:abstractNumId="14" w15:restartNumberingAfterBreak="0">
    <w:nsid w:val="17990C18"/>
    <w:multiLevelType w:val="hybridMultilevel"/>
    <w:tmpl w:val="39C0C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4D30D1"/>
    <w:multiLevelType w:val="hybridMultilevel"/>
    <w:tmpl w:val="7764C368"/>
    <w:lvl w:ilvl="0" w:tplc="08090005">
      <w:start w:val="1"/>
      <w:numFmt w:val="bullet"/>
      <w:lvlText w:val=""/>
      <w:lvlJc w:val="left"/>
      <w:pPr>
        <w:ind w:left="600" w:hanging="3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A4069C"/>
    <w:multiLevelType w:val="multilevel"/>
    <w:tmpl w:val="9E5CA73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271C2175"/>
    <w:multiLevelType w:val="multilevel"/>
    <w:tmpl w:val="5642B01C"/>
    <w:lvl w:ilvl="0">
      <w:start w:val="1"/>
      <w:numFmt w:val="decimal"/>
      <w:lvlText w:val="%1"/>
      <w:lvlJc w:val="left"/>
      <w:pPr>
        <w:ind w:left="465" w:hanging="46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AA83136"/>
    <w:multiLevelType w:val="hybridMultilevel"/>
    <w:tmpl w:val="7120448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A1572B"/>
    <w:multiLevelType w:val="hybridMultilevel"/>
    <w:tmpl w:val="92F41B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762C1"/>
    <w:multiLevelType w:val="hybridMultilevel"/>
    <w:tmpl w:val="6380797A"/>
    <w:lvl w:ilvl="0" w:tplc="08090005">
      <w:start w:val="1"/>
      <w:numFmt w:val="bullet"/>
      <w:lvlText w:val=""/>
      <w:lvlJc w:val="left"/>
      <w:pPr>
        <w:ind w:left="600" w:hanging="3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297A30"/>
    <w:multiLevelType w:val="hybridMultilevel"/>
    <w:tmpl w:val="A1C0A9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0D7CFB"/>
    <w:multiLevelType w:val="hybridMultilevel"/>
    <w:tmpl w:val="2B0012DE"/>
    <w:lvl w:ilvl="0" w:tplc="08090005">
      <w:start w:val="1"/>
      <w:numFmt w:val="bullet"/>
      <w:lvlText w:val=""/>
      <w:lvlJc w:val="left"/>
      <w:pPr>
        <w:ind w:left="600" w:hanging="3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B2F7F49"/>
    <w:multiLevelType w:val="hybridMultilevel"/>
    <w:tmpl w:val="59CAFE02"/>
    <w:lvl w:ilvl="0" w:tplc="08090005">
      <w:start w:val="1"/>
      <w:numFmt w:val="bullet"/>
      <w:lvlText w:val=""/>
      <w:lvlJc w:val="left"/>
      <w:pPr>
        <w:ind w:left="600" w:hanging="3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ED45ED0"/>
    <w:multiLevelType w:val="hybridMultilevel"/>
    <w:tmpl w:val="D06C4300"/>
    <w:lvl w:ilvl="0" w:tplc="CE181A4C">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26" w15:restartNumberingAfterBreak="0">
    <w:nsid w:val="52EB49D1"/>
    <w:multiLevelType w:val="hybridMultilevel"/>
    <w:tmpl w:val="2D7407B6"/>
    <w:lvl w:ilvl="0" w:tplc="08090005">
      <w:start w:val="1"/>
      <w:numFmt w:val="bullet"/>
      <w:lvlText w:val=""/>
      <w:lvlJc w:val="left"/>
      <w:pPr>
        <w:ind w:left="1020" w:hanging="360"/>
      </w:pPr>
      <w:rPr>
        <w:rFonts w:ascii="Wingdings" w:hAnsi="Wingdings"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7" w15:restartNumberingAfterBreak="0">
    <w:nsid w:val="53506D55"/>
    <w:multiLevelType w:val="hybridMultilevel"/>
    <w:tmpl w:val="AB42B89E"/>
    <w:lvl w:ilvl="0" w:tplc="08090005">
      <w:start w:val="1"/>
      <w:numFmt w:val="bullet"/>
      <w:lvlText w:val=""/>
      <w:lvlJc w:val="left"/>
      <w:pPr>
        <w:ind w:left="600" w:hanging="3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870774"/>
    <w:multiLevelType w:val="hybridMultilevel"/>
    <w:tmpl w:val="8900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069EB"/>
    <w:multiLevelType w:val="hybridMultilevel"/>
    <w:tmpl w:val="398ACB0C"/>
    <w:lvl w:ilvl="0" w:tplc="47CA818C">
      <w:start w:val="1"/>
      <w:numFmt w:val="bullet"/>
      <w:lvlText w:val="•"/>
      <w:lvlJc w:val="left"/>
      <w:pPr>
        <w:ind w:left="600" w:hanging="300"/>
      </w:pPr>
    </w:lvl>
    <w:lvl w:ilvl="1" w:tplc="491637AA">
      <w:numFmt w:val="decimal"/>
      <w:lvlText w:val=""/>
      <w:lvlJc w:val="left"/>
    </w:lvl>
    <w:lvl w:ilvl="2" w:tplc="05F86502">
      <w:numFmt w:val="decimal"/>
      <w:lvlText w:val=""/>
      <w:lvlJc w:val="left"/>
    </w:lvl>
    <w:lvl w:ilvl="3" w:tplc="64EAEE28">
      <w:numFmt w:val="decimal"/>
      <w:lvlText w:val=""/>
      <w:lvlJc w:val="left"/>
    </w:lvl>
    <w:lvl w:ilvl="4" w:tplc="3CD8999C">
      <w:numFmt w:val="decimal"/>
      <w:lvlText w:val=""/>
      <w:lvlJc w:val="left"/>
    </w:lvl>
    <w:lvl w:ilvl="5" w:tplc="61A8BF80">
      <w:numFmt w:val="decimal"/>
      <w:lvlText w:val=""/>
      <w:lvlJc w:val="left"/>
    </w:lvl>
    <w:lvl w:ilvl="6" w:tplc="083C4526">
      <w:numFmt w:val="decimal"/>
      <w:lvlText w:val=""/>
      <w:lvlJc w:val="left"/>
    </w:lvl>
    <w:lvl w:ilvl="7" w:tplc="17A457C8">
      <w:numFmt w:val="decimal"/>
      <w:lvlText w:val=""/>
      <w:lvlJc w:val="left"/>
    </w:lvl>
    <w:lvl w:ilvl="8" w:tplc="183647E4">
      <w:numFmt w:val="decimal"/>
      <w:lvlText w:val=""/>
      <w:lvlJc w:val="left"/>
    </w:lvl>
  </w:abstractNum>
  <w:abstractNum w:abstractNumId="30" w15:restartNumberingAfterBreak="0">
    <w:nsid w:val="6C1D6B8A"/>
    <w:multiLevelType w:val="hybridMultilevel"/>
    <w:tmpl w:val="997EF14C"/>
    <w:lvl w:ilvl="0" w:tplc="829C31B4">
      <w:numFmt w:val="bullet"/>
      <w:lvlText w:val="-"/>
      <w:lvlJc w:val="left"/>
      <w:pPr>
        <w:ind w:left="1720" w:hanging="360"/>
      </w:pPr>
      <w:rPr>
        <w:rFonts w:ascii="Arial" w:eastAsia="Arial" w:hAnsi="Arial" w:cs="Aria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31" w15:restartNumberingAfterBreak="0">
    <w:nsid w:val="6D8A0F9D"/>
    <w:multiLevelType w:val="hybridMultilevel"/>
    <w:tmpl w:val="E2BCEBE0"/>
    <w:lvl w:ilvl="0" w:tplc="8AF20590">
      <w:start w:val="1"/>
      <w:numFmt w:val="bullet"/>
      <w:pStyle w:val="SubBullets"/>
      <w:lvlText w:val=""/>
      <w:lvlJc w:val="left"/>
      <w:pPr>
        <w:ind w:left="644" w:hanging="360"/>
      </w:pPr>
      <w:rPr>
        <w:rFonts w:ascii="Symbol" w:hAnsi="Symbol" w:hint="default"/>
        <w:color w:val="B25EFF"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21D7C"/>
    <w:multiLevelType w:val="hybridMultilevel"/>
    <w:tmpl w:val="4C2E0BA8"/>
    <w:lvl w:ilvl="0" w:tplc="6A524498">
      <w:start w:val="1"/>
      <w:numFmt w:val="bullet"/>
      <w:pStyle w:val="Bullets"/>
      <w:lvlText w:val=""/>
      <w:lvlJc w:val="left"/>
      <w:pPr>
        <w:ind w:left="360" w:hanging="360"/>
      </w:pPr>
      <w:rPr>
        <w:rFonts w:ascii="Symbol" w:hAnsi="Symbol" w:hint="default"/>
        <w:color w:val="B25EFF"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351BE"/>
    <w:multiLevelType w:val="hybridMultilevel"/>
    <w:tmpl w:val="4184EB2E"/>
    <w:lvl w:ilvl="0" w:tplc="08090005">
      <w:start w:val="1"/>
      <w:numFmt w:val="bullet"/>
      <w:lvlText w:val=""/>
      <w:lvlJc w:val="left"/>
      <w:pPr>
        <w:ind w:left="600" w:hanging="30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D976A3D"/>
    <w:multiLevelType w:val="hybridMultilevel"/>
    <w:tmpl w:val="F828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902592">
    <w:abstractNumId w:val="31"/>
  </w:num>
  <w:num w:numId="2" w16cid:durableId="1729838238">
    <w:abstractNumId w:val="18"/>
  </w:num>
  <w:num w:numId="3" w16cid:durableId="730688091">
    <w:abstractNumId w:val="12"/>
  </w:num>
  <w:num w:numId="4" w16cid:durableId="955717634">
    <w:abstractNumId w:val="32"/>
  </w:num>
  <w:num w:numId="5" w16cid:durableId="435828311">
    <w:abstractNumId w:val="10"/>
  </w:num>
  <w:num w:numId="6" w16cid:durableId="853884047">
    <w:abstractNumId w:val="8"/>
  </w:num>
  <w:num w:numId="7" w16cid:durableId="1008026430">
    <w:abstractNumId w:val="7"/>
  </w:num>
  <w:num w:numId="8" w16cid:durableId="1505895744">
    <w:abstractNumId w:val="6"/>
  </w:num>
  <w:num w:numId="9" w16cid:durableId="1535999848">
    <w:abstractNumId w:val="5"/>
  </w:num>
  <w:num w:numId="10" w16cid:durableId="1861969024">
    <w:abstractNumId w:val="9"/>
  </w:num>
  <w:num w:numId="11" w16cid:durableId="719086563">
    <w:abstractNumId w:val="4"/>
  </w:num>
  <w:num w:numId="12" w16cid:durableId="1941138194">
    <w:abstractNumId w:val="3"/>
  </w:num>
  <w:num w:numId="13" w16cid:durableId="68963572">
    <w:abstractNumId w:val="2"/>
  </w:num>
  <w:num w:numId="14" w16cid:durableId="956526207">
    <w:abstractNumId w:val="1"/>
  </w:num>
  <w:num w:numId="15" w16cid:durableId="844514304">
    <w:abstractNumId w:val="0"/>
  </w:num>
  <w:num w:numId="16" w16cid:durableId="1827933228">
    <w:abstractNumId w:val="32"/>
  </w:num>
  <w:num w:numId="17" w16cid:durableId="296880629">
    <w:abstractNumId w:val="31"/>
  </w:num>
  <w:num w:numId="18" w16cid:durableId="1661732289">
    <w:abstractNumId w:val="32"/>
  </w:num>
  <w:num w:numId="19" w16cid:durableId="554853737">
    <w:abstractNumId w:val="31"/>
  </w:num>
  <w:num w:numId="20" w16cid:durableId="1965574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7126004">
    <w:abstractNumId w:val="32"/>
  </w:num>
  <w:num w:numId="22" w16cid:durableId="443963464">
    <w:abstractNumId w:val="31"/>
  </w:num>
  <w:num w:numId="23" w16cid:durableId="1747608302">
    <w:abstractNumId w:val="16"/>
  </w:num>
  <w:num w:numId="24" w16cid:durableId="2048798960">
    <w:abstractNumId w:val="17"/>
  </w:num>
  <w:num w:numId="25" w16cid:durableId="1218978455">
    <w:abstractNumId w:val="34"/>
  </w:num>
  <w:num w:numId="26" w16cid:durableId="1920671705">
    <w:abstractNumId w:val="28"/>
  </w:num>
  <w:num w:numId="27" w16cid:durableId="1286086904">
    <w:abstractNumId w:val="22"/>
  </w:num>
  <w:num w:numId="28" w16cid:durableId="1241982036">
    <w:abstractNumId w:val="29"/>
    <w:lvlOverride w:ilvl="0">
      <w:startOverride w:val="1"/>
    </w:lvlOverride>
  </w:num>
  <w:num w:numId="29" w16cid:durableId="1844122512">
    <w:abstractNumId w:val="29"/>
  </w:num>
  <w:num w:numId="30" w16cid:durableId="1008676684">
    <w:abstractNumId w:val="33"/>
  </w:num>
  <w:num w:numId="31" w16cid:durableId="145166438">
    <w:abstractNumId w:val="13"/>
  </w:num>
  <w:num w:numId="32" w16cid:durableId="1441951482">
    <w:abstractNumId w:val="24"/>
  </w:num>
  <w:num w:numId="33" w16cid:durableId="521632010">
    <w:abstractNumId w:val="27"/>
  </w:num>
  <w:num w:numId="34" w16cid:durableId="79916123">
    <w:abstractNumId w:val="15"/>
  </w:num>
  <w:num w:numId="35" w16cid:durableId="1898852870">
    <w:abstractNumId w:val="26"/>
  </w:num>
  <w:num w:numId="36" w16cid:durableId="785122543">
    <w:abstractNumId w:val="13"/>
  </w:num>
  <w:num w:numId="37" w16cid:durableId="1150370662">
    <w:abstractNumId w:val="30"/>
  </w:num>
  <w:num w:numId="38" w16cid:durableId="1670478844">
    <w:abstractNumId w:val="11"/>
  </w:num>
  <w:num w:numId="39" w16cid:durableId="1128667738">
    <w:abstractNumId w:val="21"/>
  </w:num>
  <w:num w:numId="40" w16cid:durableId="1812405970">
    <w:abstractNumId w:val="23"/>
  </w:num>
  <w:num w:numId="41" w16cid:durableId="750464163">
    <w:abstractNumId w:val="14"/>
  </w:num>
  <w:num w:numId="42" w16cid:durableId="1304315529">
    <w:abstractNumId w:val="20"/>
  </w:num>
  <w:num w:numId="43" w16cid:durableId="5520368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53"/>
    <w:rsid w:val="00010797"/>
    <w:rsid w:val="0001447D"/>
    <w:rsid w:val="000171EB"/>
    <w:rsid w:val="00042DF4"/>
    <w:rsid w:val="000464C6"/>
    <w:rsid w:val="00046903"/>
    <w:rsid w:val="000527CB"/>
    <w:rsid w:val="00062A35"/>
    <w:rsid w:val="00064219"/>
    <w:rsid w:val="000667DD"/>
    <w:rsid w:val="0006700E"/>
    <w:rsid w:val="00071B61"/>
    <w:rsid w:val="00077D7D"/>
    <w:rsid w:val="000818B6"/>
    <w:rsid w:val="000866EE"/>
    <w:rsid w:val="00092917"/>
    <w:rsid w:val="000B5D6F"/>
    <w:rsid w:val="000D07E7"/>
    <w:rsid w:val="000D46FF"/>
    <w:rsid w:val="000E136E"/>
    <w:rsid w:val="000E43B1"/>
    <w:rsid w:val="000E486C"/>
    <w:rsid w:val="000E725C"/>
    <w:rsid w:val="000E7F5E"/>
    <w:rsid w:val="0010210E"/>
    <w:rsid w:val="00127C67"/>
    <w:rsid w:val="0013070B"/>
    <w:rsid w:val="00132EC2"/>
    <w:rsid w:val="001362A0"/>
    <w:rsid w:val="00142C88"/>
    <w:rsid w:val="001565A5"/>
    <w:rsid w:val="001579F7"/>
    <w:rsid w:val="00166ED8"/>
    <w:rsid w:val="00170AFD"/>
    <w:rsid w:val="0017389F"/>
    <w:rsid w:val="0017481D"/>
    <w:rsid w:val="001869A1"/>
    <w:rsid w:val="00187F9D"/>
    <w:rsid w:val="001A2060"/>
    <w:rsid w:val="001B2219"/>
    <w:rsid w:val="001B2E1D"/>
    <w:rsid w:val="001B7486"/>
    <w:rsid w:val="001D30A0"/>
    <w:rsid w:val="001D4797"/>
    <w:rsid w:val="001F1955"/>
    <w:rsid w:val="001F2942"/>
    <w:rsid w:val="001F5C75"/>
    <w:rsid w:val="00200217"/>
    <w:rsid w:val="00203A60"/>
    <w:rsid w:val="00205777"/>
    <w:rsid w:val="002111ED"/>
    <w:rsid w:val="00214911"/>
    <w:rsid w:val="00215EC6"/>
    <w:rsid w:val="002264AE"/>
    <w:rsid w:val="00235584"/>
    <w:rsid w:val="00243A00"/>
    <w:rsid w:val="002475B0"/>
    <w:rsid w:val="002542F1"/>
    <w:rsid w:val="00256C98"/>
    <w:rsid w:val="002611EC"/>
    <w:rsid w:val="00271072"/>
    <w:rsid w:val="00284BDE"/>
    <w:rsid w:val="00291B72"/>
    <w:rsid w:val="00297B4F"/>
    <w:rsid w:val="002A4907"/>
    <w:rsid w:val="002A6137"/>
    <w:rsid w:val="002C0274"/>
    <w:rsid w:val="002C3856"/>
    <w:rsid w:val="002E1059"/>
    <w:rsid w:val="002F6D5B"/>
    <w:rsid w:val="003029E5"/>
    <w:rsid w:val="0030693F"/>
    <w:rsid w:val="003107BF"/>
    <w:rsid w:val="003140C7"/>
    <w:rsid w:val="00336DFD"/>
    <w:rsid w:val="00350CAE"/>
    <w:rsid w:val="0035197C"/>
    <w:rsid w:val="00352EDD"/>
    <w:rsid w:val="00355583"/>
    <w:rsid w:val="00357565"/>
    <w:rsid w:val="003604F6"/>
    <w:rsid w:val="00381494"/>
    <w:rsid w:val="003855BB"/>
    <w:rsid w:val="003901C5"/>
    <w:rsid w:val="003956CC"/>
    <w:rsid w:val="00395BE9"/>
    <w:rsid w:val="003A346F"/>
    <w:rsid w:val="003C0A13"/>
    <w:rsid w:val="003C1B51"/>
    <w:rsid w:val="003C3F42"/>
    <w:rsid w:val="003C4E2B"/>
    <w:rsid w:val="003C6B01"/>
    <w:rsid w:val="003D4081"/>
    <w:rsid w:val="003D5700"/>
    <w:rsid w:val="003E06BA"/>
    <w:rsid w:val="003E7915"/>
    <w:rsid w:val="003F18F1"/>
    <w:rsid w:val="003F3A5C"/>
    <w:rsid w:val="003F64F9"/>
    <w:rsid w:val="00402AC2"/>
    <w:rsid w:val="00403E20"/>
    <w:rsid w:val="0040649C"/>
    <w:rsid w:val="00407FDE"/>
    <w:rsid w:val="0041485A"/>
    <w:rsid w:val="0042361F"/>
    <w:rsid w:val="004262BC"/>
    <w:rsid w:val="004433DE"/>
    <w:rsid w:val="00445A85"/>
    <w:rsid w:val="0045057B"/>
    <w:rsid w:val="004538A4"/>
    <w:rsid w:val="00455C1B"/>
    <w:rsid w:val="00456306"/>
    <w:rsid w:val="004615F7"/>
    <w:rsid w:val="00484E98"/>
    <w:rsid w:val="004A5A1A"/>
    <w:rsid w:val="004D379D"/>
    <w:rsid w:val="004D7A41"/>
    <w:rsid w:val="004E0F0F"/>
    <w:rsid w:val="004F0981"/>
    <w:rsid w:val="004F11C5"/>
    <w:rsid w:val="004F3BA9"/>
    <w:rsid w:val="004F3CAA"/>
    <w:rsid w:val="004F7ED5"/>
    <w:rsid w:val="0050067C"/>
    <w:rsid w:val="00505A09"/>
    <w:rsid w:val="0051018B"/>
    <w:rsid w:val="005146AA"/>
    <w:rsid w:val="005155AE"/>
    <w:rsid w:val="00527637"/>
    <w:rsid w:val="00530467"/>
    <w:rsid w:val="00536532"/>
    <w:rsid w:val="005507A4"/>
    <w:rsid w:val="005671DC"/>
    <w:rsid w:val="0058704A"/>
    <w:rsid w:val="005900A5"/>
    <w:rsid w:val="005916E5"/>
    <w:rsid w:val="00592A8D"/>
    <w:rsid w:val="005A1C66"/>
    <w:rsid w:val="005B2BC2"/>
    <w:rsid w:val="005B4B54"/>
    <w:rsid w:val="005B6ED3"/>
    <w:rsid w:val="005D18D8"/>
    <w:rsid w:val="005E0DF3"/>
    <w:rsid w:val="005E13B9"/>
    <w:rsid w:val="005F0CC4"/>
    <w:rsid w:val="006061AD"/>
    <w:rsid w:val="0062179D"/>
    <w:rsid w:val="0062643D"/>
    <w:rsid w:val="006270DB"/>
    <w:rsid w:val="0063155F"/>
    <w:rsid w:val="006352A6"/>
    <w:rsid w:val="00644CC4"/>
    <w:rsid w:val="006470E8"/>
    <w:rsid w:val="00660309"/>
    <w:rsid w:val="0067191C"/>
    <w:rsid w:val="00677C6D"/>
    <w:rsid w:val="00680380"/>
    <w:rsid w:val="00690EC9"/>
    <w:rsid w:val="00694EBC"/>
    <w:rsid w:val="006A0630"/>
    <w:rsid w:val="006A5FBE"/>
    <w:rsid w:val="006B4614"/>
    <w:rsid w:val="006C2629"/>
    <w:rsid w:val="006C708B"/>
    <w:rsid w:val="006F0346"/>
    <w:rsid w:val="006F17D0"/>
    <w:rsid w:val="0070724B"/>
    <w:rsid w:val="00716F3E"/>
    <w:rsid w:val="0072398F"/>
    <w:rsid w:val="00743AE8"/>
    <w:rsid w:val="00747359"/>
    <w:rsid w:val="007564FC"/>
    <w:rsid w:val="00763C8A"/>
    <w:rsid w:val="0077113F"/>
    <w:rsid w:val="0078055D"/>
    <w:rsid w:val="00780FF0"/>
    <w:rsid w:val="00793867"/>
    <w:rsid w:val="007A2F47"/>
    <w:rsid w:val="007A4CE5"/>
    <w:rsid w:val="007A7EDB"/>
    <w:rsid w:val="007B6BFD"/>
    <w:rsid w:val="007C0F87"/>
    <w:rsid w:val="007C2CF3"/>
    <w:rsid w:val="007C457F"/>
    <w:rsid w:val="007C5087"/>
    <w:rsid w:val="007E1153"/>
    <w:rsid w:val="007E4D04"/>
    <w:rsid w:val="00804D01"/>
    <w:rsid w:val="00806207"/>
    <w:rsid w:val="008221BF"/>
    <w:rsid w:val="00835702"/>
    <w:rsid w:val="0084264A"/>
    <w:rsid w:val="008529F8"/>
    <w:rsid w:val="0086295A"/>
    <w:rsid w:val="00862E65"/>
    <w:rsid w:val="00866F65"/>
    <w:rsid w:val="00871F5D"/>
    <w:rsid w:val="00884F13"/>
    <w:rsid w:val="008942F1"/>
    <w:rsid w:val="00895CE1"/>
    <w:rsid w:val="00897DCF"/>
    <w:rsid w:val="008A4222"/>
    <w:rsid w:val="008A5258"/>
    <w:rsid w:val="008B029C"/>
    <w:rsid w:val="008C0629"/>
    <w:rsid w:val="008D6835"/>
    <w:rsid w:val="008E0FC7"/>
    <w:rsid w:val="008E2BC8"/>
    <w:rsid w:val="008F37E9"/>
    <w:rsid w:val="008F5A17"/>
    <w:rsid w:val="009109BD"/>
    <w:rsid w:val="00921D17"/>
    <w:rsid w:val="00922E00"/>
    <w:rsid w:val="009254BB"/>
    <w:rsid w:val="0093045E"/>
    <w:rsid w:val="00942B47"/>
    <w:rsid w:val="00942FB4"/>
    <w:rsid w:val="00945F08"/>
    <w:rsid w:val="009505DF"/>
    <w:rsid w:val="00951709"/>
    <w:rsid w:val="00966B2A"/>
    <w:rsid w:val="00974436"/>
    <w:rsid w:val="009837E5"/>
    <w:rsid w:val="00994691"/>
    <w:rsid w:val="009A71DE"/>
    <w:rsid w:val="009B4C05"/>
    <w:rsid w:val="009B6B79"/>
    <w:rsid w:val="009D3D0D"/>
    <w:rsid w:val="009F06E4"/>
    <w:rsid w:val="009F0978"/>
    <w:rsid w:val="009F0B50"/>
    <w:rsid w:val="009F4A5F"/>
    <w:rsid w:val="00A01E5D"/>
    <w:rsid w:val="00A20B81"/>
    <w:rsid w:val="00A25B7B"/>
    <w:rsid w:val="00A33158"/>
    <w:rsid w:val="00A46111"/>
    <w:rsid w:val="00A55B8E"/>
    <w:rsid w:val="00A7218F"/>
    <w:rsid w:val="00A75B0F"/>
    <w:rsid w:val="00A81706"/>
    <w:rsid w:val="00A8219D"/>
    <w:rsid w:val="00A82D03"/>
    <w:rsid w:val="00A91527"/>
    <w:rsid w:val="00A92E51"/>
    <w:rsid w:val="00AB21F3"/>
    <w:rsid w:val="00AC2695"/>
    <w:rsid w:val="00AD166D"/>
    <w:rsid w:val="00AD5D73"/>
    <w:rsid w:val="00AF1C59"/>
    <w:rsid w:val="00AF3445"/>
    <w:rsid w:val="00AF4CCC"/>
    <w:rsid w:val="00AF7A4A"/>
    <w:rsid w:val="00B030FD"/>
    <w:rsid w:val="00B0452B"/>
    <w:rsid w:val="00B055F2"/>
    <w:rsid w:val="00B11A12"/>
    <w:rsid w:val="00B13927"/>
    <w:rsid w:val="00B16F7A"/>
    <w:rsid w:val="00B227CE"/>
    <w:rsid w:val="00B26E40"/>
    <w:rsid w:val="00B30BDC"/>
    <w:rsid w:val="00B36BCD"/>
    <w:rsid w:val="00B461A7"/>
    <w:rsid w:val="00B53093"/>
    <w:rsid w:val="00B62858"/>
    <w:rsid w:val="00B6727E"/>
    <w:rsid w:val="00B7710D"/>
    <w:rsid w:val="00B917E1"/>
    <w:rsid w:val="00B93A25"/>
    <w:rsid w:val="00BA2E4C"/>
    <w:rsid w:val="00BA4B41"/>
    <w:rsid w:val="00BA5D76"/>
    <w:rsid w:val="00BA709E"/>
    <w:rsid w:val="00BB1753"/>
    <w:rsid w:val="00BB33FB"/>
    <w:rsid w:val="00BB4ABD"/>
    <w:rsid w:val="00BB6923"/>
    <w:rsid w:val="00BC4CC5"/>
    <w:rsid w:val="00BD2626"/>
    <w:rsid w:val="00C002E7"/>
    <w:rsid w:val="00C030D1"/>
    <w:rsid w:val="00C04985"/>
    <w:rsid w:val="00C0619A"/>
    <w:rsid w:val="00C06435"/>
    <w:rsid w:val="00C1299F"/>
    <w:rsid w:val="00C17F56"/>
    <w:rsid w:val="00C2796A"/>
    <w:rsid w:val="00C3185F"/>
    <w:rsid w:val="00C41310"/>
    <w:rsid w:val="00C5378A"/>
    <w:rsid w:val="00C9334D"/>
    <w:rsid w:val="00CA5B49"/>
    <w:rsid w:val="00CA6A14"/>
    <w:rsid w:val="00CB1642"/>
    <w:rsid w:val="00CC0863"/>
    <w:rsid w:val="00CC2865"/>
    <w:rsid w:val="00CC76E0"/>
    <w:rsid w:val="00CD3B2A"/>
    <w:rsid w:val="00CE1C5C"/>
    <w:rsid w:val="00CF4702"/>
    <w:rsid w:val="00CF52E9"/>
    <w:rsid w:val="00CF69EB"/>
    <w:rsid w:val="00D01DA2"/>
    <w:rsid w:val="00D07809"/>
    <w:rsid w:val="00D22045"/>
    <w:rsid w:val="00D450C8"/>
    <w:rsid w:val="00D471B7"/>
    <w:rsid w:val="00D541E0"/>
    <w:rsid w:val="00D547EE"/>
    <w:rsid w:val="00D55D2F"/>
    <w:rsid w:val="00D73B8C"/>
    <w:rsid w:val="00D755D2"/>
    <w:rsid w:val="00D86DB7"/>
    <w:rsid w:val="00D972A6"/>
    <w:rsid w:val="00D9762A"/>
    <w:rsid w:val="00DA4B99"/>
    <w:rsid w:val="00DA566C"/>
    <w:rsid w:val="00DC4ED1"/>
    <w:rsid w:val="00DD2ECA"/>
    <w:rsid w:val="00E0364A"/>
    <w:rsid w:val="00E1438F"/>
    <w:rsid w:val="00E21E72"/>
    <w:rsid w:val="00E26E4B"/>
    <w:rsid w:val="00E366D9"/>
    <w:rsid w:val="00E44B5A"/>
    <w:rsid w:val="00E46200"/>
    <w:rsid w:val="00E46EAB"/>
    <w:rsid w:val="00E47370"/>
    <w:rsid w:val="00E57FE2"/>
    <w:rsid w:val="00E64A40"/>
    <w:rsid w:val="00E7415D"/>
    <w:rsid w:val="00E85BCB"/>
    <w:rsid w:val="00E93AEF"/>
    <w:rsid w:val="00E9411F"/>
    <w:rsid w:val="00E96DCD"/>
    <w:rsid w:val="00EA2327"/>
    <w:rsid w:val="00EB6193"/>
    <w:rsid w:val="00EC575A"/>
    <w:rsid w:val="00ED0DD6"/>
    <w:rsid w:val="00ED428D"/>
    <w:rsid w:val="00ED7ECA"/>
    <w:rsid w:val="00EE28EC"/>
    <w:rsid w:val="00EE5CDC"/>
    <w:rsid w:val="00EE6DA1"/>
    <w:rsid w:val="00F04C62"/>
    <w:rsid w:val="00F12C1F"/>
    <w:rsid w:val="00F3122A"/>
    <w:rsid w:val="00F339D7"/>
    <w:rsid w:val="00F5249D"/>
    <w:rsid w:val="00F530BF"/>
    <w:rsid w:val="00F5686B"/>
    <w:rsid w:val="00F6651C"/>
    <w:rsid w:val="00F7125A"/>
    <w:rsid w:val="00F72ED7"/>
    <w:rsid w:val="00F73751"/>
    <w:rsid w:val="00F74013"/>
    <w:rsid w:val="00F7472E"/>
    <w:rsid w:val="00F81DBD"/>
    <w:rsid w:val="00F8212E"/>
    <w:rsid w:val="00F84F77"/>
    <w:rsid w:val="00F86BA1"/>
    <w:rsid w:val="00F86E8C"/>
    <w:rsid w:val="00F91483"/>
    <w:rsid w:val="00FA06E7"/>
    <w:rsid w:val="00FA77AD"/>
    <w:rsid w:val="00FB1D04"/>
    <w:rsid w:val="00FB5689"/>
    <w:rsid w:val="00FC2CC0"/>
    <w:rsid w:val="00FC3AE9"/>
    <w:rsid w:val="00FC4A0D"/>
    <w:rsid w:val="00FC7A9E"/>
    <w:rsid w:val="00FD10B2"/>
    <w:rsid w:val="00FD3AE0"/>
    <w:rsid w:val="00FD4BA7"/>
    <w:rsid w:val="00FF6D61"/>
    <w:rsid w:val="15F1DB6B"/>
    <w:rsid w:val="1CCD85BE"/>
    <w:rsid w:val="2EC448D2"/>
    <w:rsid w:val="39C8EE85"/>
    <w:rsid w:val="3F823DFC"/>
    <w:rsid w:val="4E468EDA"/>
    <w:rsid w:val="6B9F3461"/>
    <w:rsid w:val="78563FCC"/>
    <w:rsid w:val="7C5C75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F4859"/>
  <w14:defaultImageDpi w14:val="330"/>
  <w15:docId w15:val="{DF3CCBBC-9143-457A-BA79-994C47FD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5D"/>
    <w:pPr>
      <w:spacing w:after="120" w:line="276" w:lineRule="auto"/>
    </w:pPr>
    <w:rPr>
      <w:rFonts w:ascii="Arial" w:hAnsi="Arial"/>
    </w:rPr>
  </w:style>
  <w:style w:type="paragraph" w:styleId="Heading4">
    <w:name w:val="heading 4"/>
    <w:next w:val="Normal"/>
    <w:link w:val="Heading4Char"/>
    <w:uiPriority w:val="9"/>
    <w:semiHidden/>
    <w:unhideWhenUsed/>
    <w:qFormat/>
    <w:rsid w:val="00C002E7"/>
    <w:pPr>
      <w:keepNext/>
      <w:keepLines/>
      <w:spacing w:before="260" w:line="260" w:lineRule="exact"/>
      <w:outlineLvl w:val="3"/>
    </w:pPr>
    <w:rPr>
      <w:rFonts w:ascii="Arial" w:eastAsiaTheme="majorEastAsia" w:hAnsi="Arial" w:cstheme="majorBidi"/>
      <w:b/>
      <w:bCs/>
      <w:color w:val="4A4A4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046903"/>
    <w:pPr>
      <w:numPr>
        <w:numId w:val="21"/>
      </w:numPr>
      <w:spacing w:after="120" w:line="276" w:lineRule="auto"/>
      <w:ind w:left="1080"/>
    </w:pPr>
    <w:rPr>
      <w:rFonts w:ascii="Arial" w:hAnsi="Arial"/>
    </w:rPr>
  </w:style>
  <w:style w:type="paragraph" w:customStyle="1" w:styleId="SubBullets">
    <w:name w:val="Sub Bullets"/>
    <w:qFormat/>
    <w:rsid w:val="00046903"/>
    <w:pPr>
      <w:numPr>
        <w:numId w:val="22"/>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D547EE"/>
    <w:pPr>
      <w:spacing w:after="480"/>
    </w:pPr>
    <w:rPr>
      <w:b/>
      <w:color w:val="B25EFF" w:themeColor="accent2"/>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unhideWhenUsed/>
    <w:qFormat/>
    <w:rsid w:val="00046903"/>
    <w:pPr>
      <w:numPr>
        <w:numId w:val="20"/>
      </w:numPr>
      <w:ind w:left="720" w:hanging="357"/>
    </w:pPr>
  </w:style>
  <w:style w:type="paragraph" w:customStyle="1" w:styleId="Guidancetext">
    <w:name w:val="Guidance text"/>
    <w:basedOn w:val="Normal"/>
    <w:link w:val="GuidancetextChar"/>
    <w:qFormat/>
    <w:rsid w:val="00763C8A"/>
    <w:pPr>
      <w:spacing w:line="240" w:lineRule="auto"/>
    </w:pPr>
    <w:rPr>
      <w:color w:val="0070C0"/>
      <w:sz w:val="22"/>
      <w:szCs w:val="22"/>
      <w:lang w:val="en-US"/>
    </w:rPr>
  </w:style>
  <w:style w:type="character" w:customStyle="1" w:styleId="GuidancetextChar">
    <w:name w:val="Guidance text Char"/>
    <w:basedOn w:val="DefaultParagraphFont"/>
    <w:link w:val="Guidancetext"/>
    <w:rsid w:val="00763C8A"/>
    <w:rPr>
      <w:rFonts w:ascii="Arial" w:hAnsi="Arial"/>
      <w:color w:val="0070C0"/>
      <w:sz w:val="22"/>
      <w:szCs w:val="22"/>
      <w:lang w:val="en-US"/>
    </w:rPr>
  </w:style>
  <w:style w:type="character" w:styleId="Hyperlink">
    <w:name w:val="Hyperlink"/>
    <w:basedOn w:val="DefaultParagraphFont"/>
    <w:uiPriority w:val="99"/>
    <w:unhideWhenUsed/>
    <w:rsid w:val="004D379D"/>
    <w:rPr>
      <w:color w:val="FF00C8" w:themeColor="hyperlink"/>
      <w:u w:val="single"/>
    </w:rPr>
  </w:style>
  <w:style w:type="paragraph" w:styleId="ListParagraph">
    <w:name w:val="List Paragraph"/>
    <w:basedOn w:val="Normal"/>
    <w:qFormat/>
    <w:rsid w:val="00B7710D"/>
    <w:pPr>
      <w:ind w:left="720"/>
      <w:contextualSpacing/>
    </w:pPr>
  </w:style>
  <w:style w:type="character" w:customStyle="1" w:styleId="Heading4Char">
    <w:name w:val="Heading 4 Char"/>
    <w:basedOn w:val="DefaultParagraphFont"/>
    <w:link w:val="Heading4"/>
    <w:uiPriority w:val="9"/>
    <w:semiHidden/>
    <w:rsid w:val="00C002E7"/>
    <w:rPr>
      <w:rFonts w:ascii="Arial" w:eastAsiaTheme="majorEastAsia" w:hAnsi="Arial" w:cstheme="majorBidi"/>
      <w:b/>
      <w:bCs/>
      <w:color w:val="4A4A4A"/>
      <w:sz w:val="22"/>
      <w:szCs w:val="22"/>
      <w:lang w:val="en-US"/>
    </w:rPr>
  </w:style>
  <w:style w:type="table" w:customStyle="1" w:styleId="TableGrid1">
    <w:name w:val="Table Grid1"/>
    <w:basedOn w:val="TableNormal"/>
    <w:uiPriority w:val="59"/>
    <w:rsid w:val="00C002E7"/>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415D"/>
    <w:rPr>
      <w:sz w:val="16"/>
      <w:szCs w:val="16"/>
    </w:rPr>
  </w:style>
  <w:style w:type="paragraph" w:styleId="CommentText">
    <w:name w:val="annotation text"/>
    <w:basedOn w:val="Normal"/>
    <w:link w:val="CommentTextChar"/>
    <w:uiPriority w:val="99"/>
    <w:unhideWhenUsed/>
    <w:rsid w:val="00E7415D"/>
    <w:pPr>
      <w:spacing w:line="240" w:lineRule="auto"/>
    </w:pPr>
    <w:rPr>
      <w:sz w:val="20"/>
      <w:szCs w:val="20"/>
    </w:rPr>
  </w:style>
  <w:style w:type="character" w:customStyle="1" w:styleId="CommentTextChar">
    <w:name w:val="Comment Text Char"/>
    <w:basedOn w:val="DefaultParagraphFont"/>
    <w:link w:val="CommentText"/>
    <w:uiPriority w:val="99"/>
    <w:rsid w:val="00E7415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415D"/>
    <w:rPr>
      <w:b/>
      <w:bCs/>
    </w:rPr>
  </w:style>
  <w:style w:type="character" w:customStyle="1" w:styleId="CommentSubjectChar">
    <w:name w:val="Comment Subject Char"/>
    <w:basedOn w:val="CommentTextChar"/>
    <w:link w:val="CommentSubject"/>
    <w:uiPriority w:val="99"/>
    <w:semiHidden/>
    <w:rsid w:val="00E7415D"/>
    <w:rPr>
      <w:rFonts w:ascii="Arial" w:hAnsi="Arial"/>
      <w:b/>
      <w:bCs/>
      <w:sz w:val="20"/>
      <w:szCs w:val="20"/>
    </w:rPr>
  </w:style>
  <w:style w:type="paragraph" w:styleId="Revision">
    <w:name w:val="Revision"/>
    <w:hidden/>
    <w:uiPriority w:val="99"/>
    <w:semiHidden/>
    <w:rsid w:val="00B055F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934337">
      <w:bodyDiv w:val="1"/>
      <w:marLeft w:val="0"/>
      <w:marRight w:val="0"/>
      <w:marTop w:val="0"/>
      <w:marBottom w:val="0"/>
      <w:divBdr>
        <w:top w:val="none" w:sz="0" w:space="0" w:color="auto"/>
        <w:left w:val="none" w:sz="0" w:space="0" w:color="auto"/>
        <w:bottom w:val="none" w:sz="0" w:space="0" w:color="auto"/>
        <w:right w:val="none" w:sz="0" w:space="0" w:color="auto"/>
      </w:divBdr>
    </w:div>
    <w:div w:id="919370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zwan.mahmood@british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if.naveed@britishcouncil.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DEC09371AA4BA0931E03EB5AA91B" ma:contentTypeVersion="22" ma:contentTypeDescription="Create a new document." ma:contentTypeScope="" ma:versionID="47668360ba63b4df691f56c3b7c95ac5">
  <xsd:schema xmlns:xsd="http://www.w3.org/2001/XMLSchema" xmlns:xs="http://www.w3.org/2001/XMLSchema" xmlns:p="http://schemas.microsoft.com/office/2006/metadata/properties" xmlns:ns1="http://schemas.microsoft.com/sharepoint/v3" xmlns:ns2="be8764ed-db14-463b-ac50-a355c532f4d1" xmlns:ns3="cc6e2a87-a168-48c9-9d3b-73c83f697145" targetNamespace="http://schemas.microsoft.com/office/2006/metadata/properties" ma:root="true" ma:fieldsID="db13e66080f5b4935b46a97dc35f7891" ns1:_="" ns2:_="" ns3:_="">
    <xsd:import namespace="http://schemas.microsoft.com/sharepoint/v3"/>
    <xsd:import namespace="be8764ed-db14-463b-ac50-a355c532f4d1"/>
    <xsd:import namespace="cc6e2a87-a168-48c9-9d3b-73c83f6971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ma:readOnly="false">
      <xsd:simpleType>
        <xsd:restriction base="dms:Unknown"/>
      </xsd:simpleType>
    </xsd:element>
    <xsd:element name="PublishingExpirationDate" ma:index="5" nillable="true" ma:displayName="Scheduling End Date" ma:description=""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764ed-db14-463b-ac50-a355c532f4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e2a87-a168-48c9-9d3b-73c83f6971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AA8DD-1893-4117-8F4A-57877540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8764ed-db14-463b-ac50-a355c532f4d1"/>
    <ds:schemaRef ds:uri="cc6e2a87-a168-48c9-9d3b-73c83f697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6A74B-F891-4B6F-91E4-FAE719762D0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79D79A8-34D6-48CB-9899-A25D561989F2}">
  <ds:schemaRefs>
    <ds:schemaRef ds:uri="http://schemas.microsoft.com/sharepoint/v3/contenttype/forms"/>
  </ds:schemaRefs>
</ds:datastoreItem>
</file>

<file path=customXml/itemProps4.xml><?xml version="1.0" encoding="utf-8"?>
<ds:datastoreItem xmlns:ds="http://schemas.openxmlformats.org/officeDocument/2006/customXml" ds:itemID="{03F5F44D-0E2C-454F-AA36-E476D7C4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Erica.Fryd@britishcouncil.org</dc:creator>
  <cp:keywords/>
  <dc:description/>
  <cp:lastModifiedBy>Qazi, Jamal (Marketing and Communications)</cp:lastModifiedBy>
  <cp:revision>2</cp:revision>
  <cp:lastPrinted>2019-10-31T13:43:00Z</cp:lastPrinted>
  <dcterms:created xsi:type="dcterms:W3CDTF">2026-06-03T08:24:00Z</dcterms:created>
  <dcterms:modified xsi:type="dcterms:W3CDTF">2026-06-03T08:24:00Z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0x01010097A1DEC09371AA4BA0931E03EB5AA91B</vt:lpwstr>
  </property>
</Properties>
</file>